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新疆应用职业技术学院2020-2021学年信息公开工作报告</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高等学校信息公开办法》、《教育部关于公布&lt;高等学校信息公开事项清单&gt;的通知》和自治区教育厅《关于做好2021年高校信息公开年度报告工作的通知》的要求，现将新疆应用职业技术学院2020-2021学年信息公开工作报告如下：</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一、信息公开工作概述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学院坚持以依法治校、依法公开各项工作信息，确保广大师生和社会各界对学院发展信息及时获取，认真贯彻落实信息公开工作要求，充分运用门户网站、微信公众号、QQ群、宣传栏等多种形式，及时主动向社会公布学院各项工作，主动接受外部监督，最大限度地保障社会公众及师生员工的知情权、参与权、表达权与监督权，提高学校公信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本报告中所列数据的统计期限自2020年9月1日起至2021年9月30日止。本报告的电子版可在新疆应用职业技术学院网站（</w:t>
      </w:r>
      <w:r>
        <w:rPr>
          <w:rFonts w:ascii="仿宋_GB2312" w:eastAsia="仿宋_GB2312"/>
          <w:sz w:val="32"/>
          <w:szCs w:val="32"/>
        </w:rPr>
        <w:t>http://www.xjyyedu.cn/</w:t>
      </w:r>
      <w:r>
        <w:rPr>
          <w:rFonts w:hint="eastAsia" w:ascii="仿宋_GB2312" w:eastAsia="仿宋_GB2312"/>
          <w:sz w:val="32"/>
          <w:szCs w:val="32"/>
        </w:rPr>
        <w:t>）下载。如对本报告有疑问，请与新疆应用职业技术学院党（院）办联系（地址：新疆奎屯市北京西路62号；邮编：833200；电话：0992-6809006；传真：0992-6809011）。</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二、主动公开信息情况</w:t>
      </w:r>
    </w:p>
    <w:p>
      <w:pPr>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（一）主动公开的主要内容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对照《高等学校信息公开事项清单》具体内容，结合工作实际，我院向社会、学生家长、学生、教职工公开的主要内容包含9大类41项事项，9大类包括学院基本信息、招生考试信息、财产资产及收费信息、人事师资信息、教学质量信息、学生管理服务信息、学风建设信息、学位学科信息和其他。</w:t>
      </w:r>
    </w:p>
    <w:p>
      <w:pPr>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（二）主动公开的基本方式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学院信息公开主要采用电子传播、文字传播、会议传播等基本方式，主要形式为：校园网站、文件、会议纪要、招生简章、学生管理手册、毕业生信息手册、</w:t>
      </w:r>
      <w:r>
        <w:rPr>
          <w:rStyle w:val="9"/>
          <w:rFonts w:hint="eastAsia" w:ascii="仿宋_GB2312" w:eastAsia="仿宋_GB2312"/>
          <w:b w:val="0"/>
          <w:bCs w:val="0"/>
          <w:sz w:val="32"/>
          <w:szCs w:val="32"/>
        </w:rPr>
        <w:t>教育部阳光高考信息公开平台、新疆高职单独招生考试服务平台、</w:t>
      </w:r>
      <w:r>
        <w:rPr>
          <w:rFonts w:hint="eastAsia" w:ascii="仿宋_GB2312" w:eastAsia="仿宋_GB2312"/>
          <w:sz w:val="32"/>
          <w:szCs w:val="32"/>
        </w:rPr>
        <w:t>伊犁州招聘网站等载体。</w:t>
      </w:r>
    </w:p>
    <w:p>
      <w:pPr>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（三）主动公开的具体情况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-2021学年，学院在校园内网共发布通知公告16条，召开党委会55次、院长办公会5次。通过党委会、院长办公会、教职工代表大会、工会会员代表大会等形式，公开征求、广泛听取师生员工的意见和建议，在重点领域方面进一步加大信息公开的力度，以纸质文件、通知、校内广播、宣传栏、电子屏幕、会议纪要等载体面向全校或校内一定范围内公开信息。党委会纪要、院长办公会纪要均通过校园内网予以公开，以此来进一步提高决策的透明度和科学性。</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学院通过事业单位报告，公开发布了上一学年度学校事业发展的详细情况，包括人才培养、专业建设、队伍建设、科学研究、内部治理等方面工作。同时，参与《奎屯市年鉴》的组稿工作，进一步扩大了学院信息公开的渠道。</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学院还设立了书记、院长信箱，建立起学院与社会和公众的交流和沟通渠道。共受理各类有效信件13件，回复和有效办理13件，回复率达到100%，全面加强向全校师生员工和社会公众的信息互动。</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三、依申请公开和不予公开情况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本年度学院信息公开工作无依申请公开信息办理情况，部分法律法规和党纪党规要求保密的事项，不予公开。</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四、对信息公开的评议情况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本年度学院推进信息公开工作，充分保障学校师生员工和相关社会公众知情权、参与权、表达权和监督权，受到了全院师生的拥护，赢得了较高的满意度。</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五、因信息公开工作遭到举报的情况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本年度我院没有因信息公开工作而遭到举报的情况。</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六、信息公开工作的主要经验、问题和改进措施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自教育部《高等学校信息公开办法》公布以来，我院信息公开工作稳步推进，建立了信息公开工作队伍，完善了信息公开工作制度，创新了信息公开工作方式，但取得成绩的同时，学院的信息公开工作仍有不足之处。主要表现在：目前的信息公开形式和手段较为丰富，但信息公开按照上级要求有很强的时效性，学院网站、公众号</w:t>
      </w:r>
      <w:r>
        <w:rPr>
          <w:rFonts w:hint="eastAsia" w:ascii="仿宋_GB2312" w:eastAsia="仿宋_GB2312"/>
          <w:sz w:val="32"/>
          <w:szCs w:val="32"/>
          <w:lang w:val="en-US" w:eastAsia="zh-CN"/>
        </w:rPr>
        <w:t>因一段时间特殊的工作要求以及网站重新建设的原因</w:t>
      </w:r>
      <w:r>
        <w:rPr>
          <w:rFonts w:hint="eastAsia" w:ascii="仿宋_GB2312" w:eastAsia="仿宋_GB2312"/>
          <w:sz w:val="32"/>
          <w:szCs w:val="32"/>
        </w:rPr>
        <w:t>，导致部分时段社会面获取学院信息不畅，部分师生对信息公开工作关注度不够。今后我院将重点抓好信息公开的长效机制建设，做好信息公开顶层设计，依托学院信息化建设优势，充分利用各种现代化手段，以服务师生员工和社会公众为目的，加强监管，建立信息公开工作考核和评议制度，确保信息公开工作深入、持续、高效地开展。</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七、其他需说明的事项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高等学校信息公开事项清单》中涉及财务资产及收费信息中涉及捐赠财产、校办企业的13、14项，人事师资信息中涉及校级领导干部社会兼职、因公出国（境）的18、19项，教学质量信息中涉及本科教学的30项，我院无此类情况。</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4960" w:firstLineChars="1550"/>
        <w:rPr>
          <w:rFonts w:ascii="仿宋_GB2312" w:eastAsia="仿宋_GB2312"/>
          <w:sz w:val="32"/>
          <w:szCs w:val="32"/>
        </w:rPr>
      </w:pPr>
      <w:r>
        <w:rPr>
          <w:rFonts w:hint="eastAsia" w:ascii="仿宋_GB2312" w:eastAsia="仿宋_GB2312"/>
          <w:sz w:val="32"/>
          <w:szCs w:val="32"/>
        </w:rPr>
        <w:t>新疆应用职业技术学院</w:t>
      </w:r>
    </w:p>
    <w:p>
      <w:pPr>
        <w:spacing w:line="560" w:lineRule="exact"/>
        <w:ind w:firstLine="5600" w:firstLineChars="1750"/>
        <w:rPr>
          <w:rFonts w:ascii="仿宋_GB2312" w:eastAsia="仿宋_GB2312"/>
          <w:sz w:val="32"/>
          <w:szCs w:val="32"/>
        </w:rPr>
      </w:pPr>
      <w:r>
        <w:rPr>
          <w:rFonts w:hint="eastAsia" w:ascii="仿宋_GB2312" w:eastAsia="仿宋_GB2312"/>
          <w:sz w:val="32"/>
          <w:szCs w:val="32"/>
        </w:rPr>
        <w:t>2021年10月</w:t>
      </w:r>
    </w:p>
    <w:p>
      <w:pPr>
        <w:spacing w:line="560" w:lineRule="exact"/>
        <w:ind w:firstLine="5600" w:firstLineChars="1750"/>
        <w:rPr>
          <w:rFonts w:ascii="仿宋_GB2312" w:eastAsia="仿宋_GB2312"/>
          <w:sz w:val="32"/>
          <w:szCs w:val="32"/>
        </w:rPr>
      </w:pPr>
    </w:p>
    <w:p>
      <w:pPr>
        <w:spacing w:line="560" w:lineRule="exact"/>
        <w:ind w:firstLine="5600" w:firstLineChars="1750"/>
        <w:rPr>
          <w:rFonts w:ascii="仿宋_GB2312" w:eastAsia="仿宋_GB2312"/>
          <w:sz w:val="32"/>
          <w:szCs w:val="32"/>
        </w:rPr>
      </w:pPr>
    </w:p>
    <w:p>
      <w:pPr>
        <w:spacing w:line="560" w:lineRule="exact"/>
        <w:ind w:firstLine="5600" w:firstLineChars="1750"/>
        <w:rPr>
          <w:rFonts w:ascii="仿宋_GB2312" w:eastAsia="仿宋_GB2312"/>
          <w:sz w:val="32"/>
          <w:szCs w:val="32"/>
        </w:rPr>
      </w:pPr>
    </w:p>
    <w:p>
      <w:pPr>
        <w:spacing w:line="560" w:lineRule="exact"/>
        <w:ind w:firstLine="5600" w:firstLineChars="1750"/>
        <w:rPr>
          <w:rFonts w:ascii="仿宋_GB2312" w:eastAsia="仿宋_GB2312"/>
          <w:sz w:val="32"/>
          <w:szCs w:val="32"/>
        </w:rPr>
      </w:pPr>
    </w:p>
    <w:p>
      <w:pPr>
        <w:spacing w:line="560" w:lineRule="exact"/>
        <w:ind w:firstLine="5600" w:firstLineChars="1750"/>
        <w:rPr>
          <w:rFonts w:ascii="仿宋_GB2312" w:eastAsia="仿宋_GB2312"/>
          <w:sz w:val="32"/>
          <w:szCs w:val="32"/>
        </w:rPr>
      </w:pPr>
    </w:p>
    <w:p>
      <w:pPr>
        <w:spacing w:line="560" w:lineRule="exact"/>
        <w:ind w:firstLine="5600" w:firstLineChars="1750"/>
        <w:rPr>
          <w:rFonts w:ascii="仿宋_GB2312" w:eastAsia="仿宋_GB2312"/>
          <w:sz w:val="32"/>
          <w:szCs w:val="32"/>
        </w:rPr>
      </w:pPr>
    </w:p>
    <w:p>
      <w:pPr>
        <w:spacing w:line="560" w:lineRule="exact"/>
        <w:ind w:firstLine="5600" w:firstLineChars="1750"/>
        <w:rPr>
          <w:rFonts w:ascii="仿宋_GB2312" w:eastAsia="仿宋_GB2312"/>
          <w:sz w:val="32"/>
          <w:szCs w:val="32"/>
        </w:rPr>
      </w:pPr>
    </w:p>
    <w:p>
      <w:pPr>
        <w:spacing w:line="560" w:lineRule="exact"/>
        <w:ind w:firstLine="5600" w:firstLineChars="1750"/>
        <w:rPr>
          <w:rFonts w:ascii="仿宋_GB2312" w:eastAsia="仿宋_GB2312"/>
          <w:sz w:val="32"/>
          <w:szCs w:val="32"/>
        </w:rPr>
      </w:pPr>
    </w:p>
    <w:p>
      <w:pPr>
        <w:spacing w:line="560" w:lineRule="exact"/>
        <w:ind w:firstLine="5600" w:firstLineChars="1750"/>
        <w:rPr>
          <w:rFonts w:ascii="仿宋_GB2312" w:eastAsia="仿宋_GB2312"/>
          <w:sz w:val="32"/>
          <w:szCs w:val="32"/>
        </w:rPr>
      </w:pPr>
    </w:p>
    <w:p>
      <w:pPr>
        <w:spacing w:line="560" w:lineRule="exact"/>
        <w:ind w:firstLine="5600" w:firstLineChars="1750"/>
        <w:rPr>
          <w:rFonts w:ascii="仿宋_GB2312" w:eastAsia="仿宋_GB2312"/>
          <w:sz w:val="32"/>
          <w:szCs w:val="32"/>
        </w:rPr>
      </w:pPr>
    </w:p>
    <w:p>
      <w:pPr>
        <w:spacing w:line="560" w:lineRule="exact"/>
        <w:ind w:firstLine="5600" w:firstLineChars="1750"/>
        <w:rPr>
          <w:rFonts w:ascii="仿宋_GB2312" w:eastAsia="仿宋_GB2312"/>
          <w:sz w:val="32"/>
          <w:szCs w:val="32"/>
        </w:rPr>
      </w:pPr>
    </w:p>
    <w:p>
      <w:pPr>
        <w:spacing w:line="560" w:lineRule="exact"/>
        <w:ind w:firstLine="5600" w:firstLineChars="1750"/>
        <w:rPr>
          <w:rFonts w:ascii="仿宋_GB2312" w:eastAsia="仿宋_GB2312"/>
          <w:sz w:val="32"/>
          <w:szCs w:val="32"/>
        </w:rPr>
      </w:pPr>
    </w:p>
    <w:p>
      <w:pPr>
        <w:spacing w:line="560" w:lineRule="exact"/>
        <w:ind w:firstLine="5600" w:firstLineChars="1750"/>
        <w:rPr>
          <w:rFonts w:ascii="仿宋_GB2312" w:eastAsia="仿宋_GB2312"/>
          <w:sz w:val="32"/>
          <w:szCs w:val="32"/>
        </w:rPr>
      </w:pPr>
    </w:p>
    <w:p>
      <w:pPr>
        <w:spacing w:line="560" w:lineRule="exact"/>
        <w:ind w:firstLine="5600" w:firstLineChars="1750"/>
        <w:rPr>
          <w:rFonts w:ascii="仿宋_GB2312" w:eastAsia="仿宋_GB2312"/>
          <w:sz w:val="32"/>
          <w:szCs w:val="32"/>
        </w:rPr>
        <w:sectPr>
          <w:footerReference r:id="rId3" w:type="default"/>
          <w:pgSz w:w="11906" w:h="16838"/>
          <w:pgMar w:top="1418" w:right="1418" w:bottom="1418" w:left="1418" w:header="851" w:footer="992" w:gutter="0"/>
          <w:cols w:space="425" w:num="1"/>
          <w:docGrid w:type="lines" w:linePitch="312" w:charSpace="0"/>
        </w:sectPr>
      </w:pPr>
    </w:p>
    <w:p>
      <w:pPr>
        <w:adjustRightInd w:val="0"/>
        <w:snapToGrid w:val="0"/>
        <w:spacing w:line="640" w:lineRule="exact"/>
        <w:rPr>
          <w:rFonts w:ascii="楷体" w:hAnsi="楷体" w:eastAsia="楷体"/>
          <w:sz w:val="32"/>
          <w:szCs w:val="32"/>
        </w:rPr>
      </w:pPr>
      <w:r>
        <w:rPr>
          <w:rFonts w:hint="eastAsia" w:ascii="楷体" w:hAnsi="楷体" w:eastAsia="楷体"/>
          <w:sz w:val="32"/>
          <w:szCs w:val="32"/>
        </w:rPr>
        <w:t>附件</w:t>
      </w:r>
    </w:p>
    <w:p>
      <w:pPr>
        <w:jc w:val="center"/>
        <w:rPr>
          <w:rFonts w:ascii="方正小标宋简体" w:hAnsi="楷体" w:eastAsia="方正小标宋简体"/>
          <w:sz w:val="44"/>
          <w:szCs w:val="44"/>
        </w:rPr>
      </w:pPr>
      <w:r>
        <w:rPr>
          <w:rFonts w:hint="eastAsia" w:ascii="方正小标宋简体" w:hAnsi="楷体" w:eastAsia="方正小标宋简体"/>
          <w:sz w:val="44"/>
          <w:szCs w:val="44"/>
        </w:rPr>
        <w:t>新疆应用职业技术学院清单事项公开情况表</w:t>
      </w:r>
    </w:p>
    <w:tbl>
      <w:tblPr>
        <w:tblStyle w:val="7"/>
        <w:tblW w:w="5000" w:type="pct"/>
        <w:tblInd w:w="82" w:type="dxa"/>
        <w:tblLayout w:type="fixed"/>
        <w:tblCellMar>
          <w:top w:w="0" w:type="dxa"/>
          <w:left w:w="108" w:type="dxa"/>
          <w:bottom w:w="0" w:type="dxa"/>
          <w:right w:w="108" w:type="dxa"/>
        </w:tblCellMar>
      </w:tblPr>
      <w:tblGrid>
        <w:gridCol w:w="450"/>
        <w:gridCol w:w="1276"/>
        <w:gridCol w:w="3371"/>
        <w:gridCol w:w="7830"/>
        <w:gridCol w:w="1247"/>
      </w:tblGrid>
      <w:tr>
        <w:tblPrEx>
          <w:tblCellMar>
            <w:top w:w="0" w:type="dxa"/>
            <w:left w:w="108" w:type="dxa"/>
            <w:bottom w:w="0" w:type="dxa"/>
            <w:right w:w="108" w:type="dxa"/>
          </w:tblCellMar>
        </w:tblPrEx>
        <w:trPr>
          <w:trHeight w:val="125" w:hRule="atLeast"/>
        </w:trPr>
        <w:tc>
          <w:tcPr>
            <w:tcW w:w="5000" w:type="pct"/>
            <w:gridSpan w:val="5"/>
            <w:tcBorders>
              <w:top w:val="nil"/>
              <w:left w:val="nil"/>
              <w:bottom w:val="single" w:color="auto" w:sz="4" w:space="0"/>
              <w:right w:val="nil"/>
            </w:tcBorders>
            <w:shd w:val="clear" w:color="auto" w:fill="auto"/>
            <w:vAlign w:val="center"/>
          </w:tcPr>
          <w:p>
            <w:pPr>
              <w:widowControl/>
              <w:jc w:val="left"/>
              <w:rPr>
                <w:rFonts w:ascii="楷体_GB2312" w:hAnsi="宋体" w:eastAsia="楷体_GB2312" w:cs="宋体"/>
                <w:b/>
                <w:bCs/>
                <w:color w:val="000000"/>
                <w:kern w:val="0"/>
                <w:sz w:val="24"/>
                <w:szCs w:val="24"/>
              </w:rPr>
            </w:pPr>
            <w:r>
              <w:rPr>
                <w:rFonts w:hint="eastAsia" w:ascii="楷体_GB2312" w:hAnsi="宋体" w:eastAsia="楷体_GB2312" w:cs="宋体"/>
                <w:kern w:val="0"/>
                <w:sz w:val="24"/>
                <w:szCs w:val="24"/>
              </w:rPr>
              <w:t xml:space="preserve">   </w:t>
            </w:r>
            <w:r>
              <w:rPr>
                <w:rFonts w:ascii="Times New Roman" w:hAnsi="Times New Roman" w:eastAsia="楷体_GB2312" w:cs="Times New Roman"/>
                <w:kern w:val="0"/>
                <w:sz w:val="20"/>
                <w:szCs w:val="20"/>
              </w:rPr>
              <w:t xml:space="preserve">                          </w:t>
            </w:r>
          </w:p>
        </w:tc>
      </w:tr>
      <w:tr>
        <w:tblPrEx>
          <w:tblCellMar>
            <w:top w:w="0" w:type="dxa"/>
            <w:left w:w="108" w:type="dxa"/>
            <w:bottom w:w="0" w:type="dxa"/>
            <w:right w:w="108" w:type="dxa"/>
          </w:tblCellMar>
        </w:tblPrEx>
        <w:trPr>
          <w:trHeight w:val="402" w:hRule="atLeast"/>
        </w:trPr>
        <w:tc>
          <w:tcPr>
            <w:tcW w:w="15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序号</w:t>
            </w:r>
          </w:p>
        </w:tc>
        <w:tc>
          <w:tcPr>
            <w:tcW w:w="45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类</w:t>
            </w:r>
            <w:r>
              <w:rPr>
                <w:rFonts w:ascii="Times New Roman" w:hAnsi="Times New Roman" w:eastAsia="仿宋_GB2312" w:cs="Times New Roman"/>
                <w:b/>
                <w:bCs/>
                <w:kern w:val="0"/>
                <w:sz w:val="24"/>
                <w:szCs w:val="24"/>
              </w:rPr>
              <w:t xml:space="preserve">  </w:t>
            </w:r>
            <w:r>
              <w:rPr>
                <w:rFonts w:hint="eastAsia" w:ascii="仿宋_GB2312" w:hAnsi="宋体" w:eastAsia="仿宋_GB2312" w:cs="宋体"/>
                <w:b/>
                <w:bCs/>
                <w:kern w:val="0"/>
                <w:sz w:val="24"/>
                <w:szCs w:val="24"/>
              </w:rPr>
              <w:t>别</w:t>
            </w:r>
          </w:p>
        </w:tc>
        <w:tc>
          <w:tcPr>
            <w:tcW w:w="118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公开事项</w:t>
            </w:r>
          </w:p>
        </w:tc>
        <w:tc>
          <w:tcPr>
            <w:tcW w:w="276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链接</w:t>
            </w:r>
          </w:p>
        </w:tc>
        <w:tc>
          <w:tcPr>
            <w:tcW w:w="44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备注</w:t>
            </w:r>
          </w:p>
        </w:tc>
      </w:tr>
      <w:tr>
        <w:tblPrEx>
          <w:tblCellMar>
            <w:top w:w="0" w:type="dxa"/>
            <w:left w:w="108" w:type="dxa"/>
            <w:bottom w:w="0" w:type="dxa"/>
            <w:right w:w="108" w:type="dxa"/>
          </w:tblCellMar>
        </w:tblPrEx>
        <w:trPr>
          <w:trHeight w:val="312" w:hRule="atLeast"/>
        </w:trPr>
        <w:tc>
          <w:tcPr>
            <w:tcW w:w="1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4"/>
                <w:szCs w:val="24"/>
              </w:rPr>
            </w:pPr>
          </w:p>
        </w:tc>
        <w:tc>
          <w:tcPr>
            <w:tcW w:w="450"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4"/>
                <w:szCs w:val="24"/>
              </w:rPr>
            </w:pPr>
          </w:p>
        </w:tc>
        <w:tc>
          <w:tcPr>
            <w:tcW w:w="118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4"/>
                <w:szCs w:val="24"/>
              </w:rPr>
            </w:pPr>
          </w:p>
        </w:tc>
        <w:tc>
          <w:tcPr>
            <w:tcW w:w="2762"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4"/>
                <w:szCs w:val="24"/>
              </w:rPr>
            </w:pPr>
          </w:p>
        </w:tc>
        <w:tc>
          <w:tcPr>
            <w:tcW w:w="440"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4"/>
                <w:szCs w:val="24"/>
              </w:rPr>
            </w:pPr>
          </w:p>
        </w:tc>
      </w:tr>
      <w:tr>
        <w:tblPrEx>
          <w:tblCellMar>
            <w:top w:w="0" w:type="dxa"/>
            <w:left w:w="108" w:type="dxa"/>
            <w:bottom w:w="0" w:type="dxa"/>
            <w:right w:w="108" w:type="dxa"/>
          </w:tblCellMar>
        </w:tblPrEx>
        <w:trPr>
          <w:trHeight w:val="799" w:hRule="atLeast"/>
        </w:trPr>
        <w:tc>
          <w:tcPr>
            <w:tcW w:w="15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p>
        </w:tc>
        <w:tc>
          <w:tcPr>
            <w:tcW w:w="450"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仿宋_GB2312" w:hAnsi="Times New Roman" w:eastAsia="仿宋_GB2312" w:cs="Times New Roman"/>
                <w:kern w:val="0"/>
                <w:sz w:val="20"/>
                <w:szCs w:val="20"/>
              </w:rPr>
              <w:t>基本信息</w:t>
            </w:r>
            <w:r>
              <w:rPr>
                <w:rFonts w:hint="eastAsia" w:ascii="仿宋_GB2312" w:hAnsi="Times New Roman" w:eastAsia="仿宋_GB2312" w:cs="Times New Roman"/>
                <w:kern w:val="0"/>
                <w:sz w:val="20"/>
                <w:szCs w:val="20"/>
              </w:rPr>
              <w:br w:type="textWrapping"/>
            </w:r>
            <w:r>
              <w:rPr>
                <w:rFonts w:hint="eastAsia" w:ascii="仿宋_GB2312" w:hAnsi="Times New Roman" w:eastAsia="仿宋_GB2312" w:cs="Times New Roman"/>
                <w:kern w:val="0"/>
                <w:sz w:val="20"/>
                <w:szCs w:val="20"/>
              </w:rPr>
              <w:br w:type="textWrapping"/>
            </w:r>
            <w:r>
              <w:rPr>
                <w:rFonts w:hint="eastAsia" w:ascii="仿宋_GB2312" w:hAnsi="Times New Roman" w:eastAsia="仿宋_GB2312" w:cs="Times New Roman"/>
                <w:kern w:val="0"/>
                <w:sz w:val="20"/>
                <w:szCs w:val="20"/>
              </w:rPr>
              <w:t>（</w:t>
            </w:r>
            <w:r>
              <w:rPr>
                <w:rFonts w:ascii="Times New Roman" w:hAnsi="Times New Roman" w:eastAsia="宋体" w:cs="Times New Roman"/>
                <w:kern w:val="0"/>
                <w:sz w:val="20"/>
                <w:szCs w:val="20"/>
              </w:rPr>
              <w:t>6</w:t>
            </w:r>
            <w:r>
              <w:rPr>
                <w:rFonts w:hint="eastAsia" w:ascii="仿宋_GB2312" w:hAnsi="Times New Roman" w:eastAsia="仿宋_GB2312" w:cs="Times New Roman"/>
                <w:kern w:val="0"/>
                <w:sz w:val="20"/>
                <w:szCs w:val="20"/>
              </w:rPr>
              <w:t>项）</w:t>
            </w:r>
          </w:p>
        </w:tc>
        <w:tc>
          <w:tcPr>
            <w:tcW w:w="1189"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hint="eastAsia" w:ascii="仿宋_GB2312" w:hAnsi="Times New Roman" w:eastAsia="仿宋_GB2312" w:cs="Times New Roman"/>
                <w:kern w:val="0"/>
                <w:sz w:val="20"/>
                <w:szCs w:val="20"/>
              </w:rPr>
              <w:t>（</w:t>
            </w:r>
            <w:r>
              <w:rPr>
                <w:rFonts w:ascii="Times New Roman" w:hAnsi="Times New Roman" w:eastAsia="宋体" w:cs="Times New Roman"/>
                <w:kern w:val="0"/>
                <w:sz w:val="20"/>
                <w:szCs w:val="20"/>
              </w:rPr>
              <w:t>1</w:t>
            </w:r>
            <w:r>
              <w:rPr>
                <w:rFonts w:hint="eastAsia" w:ascii="仿宋_GB2312" w:hAnsi="Times New Roman" w:eastAsia="仿宋_GB2312" w:cs="Times New Roman"/>
                <w:kern w:val="0"/>
                <w:sz w:val="20"/>
                <w:szCs w:val="20"/>
              </w:rPr>
              <w:t>）办学规模、校级领导班子简介及分工、学校机构设置、学科情况、专业情况、各类在校生情况、教师和专业技术人员数量等办学基本情况</w:t>
            </w:r>
          </w:p>
        </w:tc>
        <w:tc>
          <w:tcPr>
            <w:tcW w:w="276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http://www.xjyyedu.cn/</w:t>
            </w:r>
          </w:p>
        </w:tc>
        <w:tc>
          <w:tcPr>
            <w:tcW w:w="44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360" w:hRule="atLeast"/>
        </w:trPr>
        <w:tc>
          <w:tcPr>
            <w:tcW w:w="159"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hint="eastAsia" w:ascii="仿宋_GB2312" w:hAnsi="Times New Roman" w:eastAsia="仿宋_GB2312" w:cs="Times New Roman"/>
                <w:kern w:val="0"/>
                <w:sz w:val="20"/>
                <w:szCs w:val="20"/>
              </w:rPr>
              <w:t>（</w:t>
            </w:r>
            <w:r>
              <w:rPr>
                <w:rFonts w:ascii="Times New Roman" w:hAnsi="Times New Roman" w:eastAsia="宋体" w:cs="Times New Roman"/>
                <w:kern w:val="0"/>
                <w:sz w:val="20"/>
                <w:szCs w:val="20"/>
              </w:rPr>
              <w:t>2</w:t>
            </w:r>
            <w:r>
              <w:rPr>
                <w:rFonts w:hint="eastAsia" w:ascii="仿宋_GB2312" w:hAnsi="Times New Roman" w:eastAsia="仿宋_GB2312" w:cs="Times New Roman"/>
                <w:kern w:val="0"/>
                <w:sz w:val="20"/>
                <w:szCs w:val="20"/>
              </w:rPr>
              <w:t>）学校章程及制定的各项规章制度</w:t>
            </w:r>
          </w:p>
        </w:tc>
        <w:tc>
          <w:tcPr>
            <w:tcW w:w="276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40"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559" w:hRule="atLeast"/>
        </w:trPr>
        <w:tc>
          <w:tcPr>
            <w:tcW w:w="159"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hint="eastAsia" w:ascii="仿宋_GB2312" w:hAnsi="Times New Roman" w:eastAsia="仿宋_GB2312" w:cs="Times New Roman"/>
                <w:kern w:val="0"/>
                <w:sz w:val="20"/>
                <w:szCs w:val="20"/>
              </w:rPr>
              <w:t>（</w:t>
            </w:r>
            <w:r>
              <w:rPr>
                <w:rFonts w:ascii="Times New Roman" w:hAnsi="Times New Roman" w:eastAsia="宋体" w:cs="Times New Roman"/>
                <w:kern w:val="0"/>
                <w:sz w:val="20"/>
                <w:szCs w:val="20"/>
              </w:rPr>
              <w:t>3</w:t>
            </w:r>
            <w:r>
              <w:rPr>
                <w:rFonts w:hint="eastAsia" w:ascii="仿宋_GB2312" w:hAnsi="Times New Roman" w:eastAsia="仿宋_GB2312" w:cs="Times New Roman"/>
                <w:kern w:val="0"/>
                <w:sz w:val="20"/>
                <w:szCs w:val="20"/>
              </w:rPr>
              <w:t>）教职工代表大会相关制度、工作报告</w:t>
            </w:r>
          </w:p>
        </w:tc>
        <w:tc>
          <w:tcPr>
            <w:tcW w:w="2762"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p>
        </w:tc>
        <w:tc>
          <w:tcPr>
            <w:tcW w:w="440"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以文件形式公布</w:t>
            </w:r>
          </w:p>
        </w:tc>
      </w:tr>
      <w:tr>
        <w:tblPrEx>
          <w:tblCellMar>
            <w:top w:w="0" w:type="dxa"/>
            <w:left w:w="108" w:type="dxa"/>
            <w:bottom w:w="0" w:type="dxa"/>
            <w:right w:w="108" w:type="dxa"/>
          </w:tblCellMar>
        </w:tblPrEx>
        <w:trPr>
          <w:trHeight w:val="559" w:hRule="atLeast"/>
        </w:trPr>
        <w:tc>
          <w:tcPr>
            <w:tcW w:w="159"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hint="eastAsia" w:ascii="仿宋_GB2312" w:hAnsi="Times New Roman" w:eastAsia="仿宋_GB2312" w:cs="Times New Roman"/>
                <w:kern w:val="0"/>
                <w:sz w:val="20"/>
                <w:szCs w:val="20"/>
              </w:rPr>
              <w:t>（</w:t>
            </w:r>
            <w:r>
              <w:rPr>
                <w:rFonts w:ascii="Times New Roman" w:hAnsi="Times New Roman" w:eastAsia="宋体" w:cs="Times New Roman"/>
                <w:kern w:val="0"/>
                <w:sz w:val="20"/>
                <w:szCs w:val="20"/>
              </w:rPr>
              <w:t>4</w:t>
            </w:r>
            <w:r>
              <w:rPr>
                <w:rFonts w:hint="eastAsia" w:ascii="仿宋_GB2312" w:hAnsi="Times New Roman" w:eastAsia="仿宋_GB2312" w:cs="Times New Roman"/>
                <w:kern w:val="0"/>
                <w:sz w:val="20"/>
                <w:szCs w:val="20"/>
              </w:rPr>
              <w:t>）学术委员会相关制度、年度报告</w:t>
            </w:r>
          </w:p>
        </w:tc>
        <w:tc>
          <w:tcPr>
            <w:tcW w:w="2762"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p>
        </w:tc>
        <w:tc>
          <w:tcPr>
            <w:tcW w:w="440"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以制度汇编形式公布</w:t>
            </w:r>
          </w:p>
        </w:tc>
      </w:tr>
      <w:tr>
        <w:tblPrEx>
          <w:tblCellMar>
            <w:top w:w="0" w:type="dxa"/>
            <w:left w:w="108" w:type="dxa"/>
            <w:bottom w:w="0" w:type="dxa"/>
            <w:right w:w="108" w:type="dxa"/>
          </w:tblCellMar>
        </w:tblPrEx>
        <w:trPr>
          <w:trHeight w:val="559" w:hRule="atLeast"/>
        </w:trPr>
        <w:tc>
          <w:tcPr>
            <w:tcW w:w="159"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hint="eastAsia" w:ascii="仿宋_GB2312" w:hAnsi="Times New Roman" w:eastAsia="仿宋_GB2312" w:cs="Times New Roman"/>
                <w:kern w:val="0"/>
                <w:sz w:val="20"/>
                <w:szCs w:val="20"/>
              </w:rPr>
              <w:t>（</w:t>
            </w:r>
            <w:r>
              <w:rPr>
                <w:rFonts w:ascii="Times New Roman" w:hAnsi="Times New Roman" w:eastAsia="宋体" w:cs="Times New Roman"/>
                <w:kern w:val="0"/>
                <w:sz w:val="20"/>
                <w:szCs w:val="20"/>
              </w:rPr>
              <w:t>5</w:t>
            </w:r>
            <w:r>
              <w:rPr>
                <w:rFonts w:hint="eastAsia" w:ascii="仿宋_GB2312" w:hAnsi="Times New Roman" w:eastAsia="仿宋_GB2312" w:cs="Times New Roman"/>
                <w:kern w:val="0"/>
                <w:sz w:val="20"/>
                <w:szCs w:val="20"/>
              </w:rPr>
              <w:t>）学校发展规划、年度工作计划及重点工作安排</w:t>
            </w:r>
          </w:p>
        </w:tc>
        <w:tc>
          <w:tcPr>
            <w:tcW w:w="2762"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p>
        </w:tc>
        <w:tc>
          <w:tcPr>
            <w:tcW w:w="440" w:type="pc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仿宋_GB2312" w:hAnsi="宋体" w:eastAsia="仿宋_GB2312" w:cs="宋体"/>
                <w:kern w:val="0"/>
                <w:sz w:val="20"/>
                <w:szCs w:val="20"/>
              </w:rPr>
              <w:t>形成讨论稿，正在调整中</w:t>
            </w:r>
          </w:p>
        </w:tc>
      </w:tr>
      <w:tr>
        <w:tblPrEx>
          <w:tblCellMar>
            <w:top w:w="0" w:type="dxa"/>
            <w:left w:w="108" w:type="dxa"/>
            <w:bottom w:w="0" w:type="dxa"/>
            <w:right w:w="108" w:type="dxa"/>
          </w:tblCellMar>
        </w:tblPrEx>
        <w:trPr>
          <w:trHeight w:val="202" w:hRule="atLeast"/>
        </w:trPr>
        <w:tc>
          <w:tcPr>
            <w:tcW w:w="159"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hint="eastAsia" w:ascii="仿宋_GB2312" w:hAnsi="Times New Roman" w:eastAsia="仿宋_GB2312" w:cs="Times New Roman"/>
                <w:kern w:val="0"/>
                <w:sz w:val="20"/>
                <w:szCs w:val="20"/>
              </w:rPr>
              <w:t>（</w:t>
            </w:r>
            <w:r>
              <w:rPr>
                <w:rFonts w:ascii="Times New Roman" w:hAnsi="Times New Roman" w:eastAsia="宋体" w:cs="Times New Roman"/>
                <w:kern w:val="0"/>
                <w:sz w:val="20"/>
                <w:szCs w:val="20"/>
              </w:rPr>
              <w:t>6</w:t>
            </w:r>
            <w:r>
              <w:rPr>
                <w:rFonts w:hint="eastAsia" w:ascii="仿宋_GB2312" w:hAnsi="Times New Roman" w:eastAsia="仿宋_GB2312" w:cs="Times New Roman"/>
                <w:kern w:val="0"/>
                <w:sz w:val="20"/>
                <w:szCs w:val="20"/>
              </w:rPr>
              <w:t>）信息公开年度报告</w:t>
            </w:r>
          </w:p>
        </w:tc>
        <w:tc>
          <w:tcPr>
            <w:tcW w:w="2762"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p>
        </w:tc>
        <w:tc>
          <w:tcPr>
            <w:tcW w:w="440" w:type="pc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trHeight w:val="162" w:hRule="atLeast"/>
        </w:trPr>
        <w:tc>
          <w:tcPr>
            <w:tcW w:w="159" w:type="pct"/>
            <w:vMerge w:val="restart"/>
            <w:tcBorders>
              <w:top w:val="nil"/>
              <w:left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450" w:type="pct"/>
            <w:vMerge w:val="restart"/>
            <w:tcBorders>
              <w:top w:val="single" w:color="000000" w:sz="4" w:space="0"/>
              <w:left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仿宋_GB2312" w:hAnsi="Times New Roman" w:eastAsia="仿宋_GB2312" w:cs="Times New Roman"/>
                <w:kern w:val="0"/>
                <w:sz w:val="20"/>
                <w:szCs w:val="20"/>
              </w:rPr>
              <w:t>招生考试信息</w:t>
            </w:r>
            <w:r>
              <w:rPr>
                <w:rFonts w:hint="eastAsia" w:ascii="仿宋_GB2312" w:hAnsi="Times New Roman" w:eastAsia="仿宋_GB2312" w:cs="Times New Roman"/>
                <w:kern w:val="0"/>
                <w:sz w:val="20"/>
                <w:szCs w:val="20"/>
              </w:rPr>
              <w:br w:type="textWrapping"/>
            </w:r>
            <w:r>
              <w:rPr>
                <w:rFonts w:hint="eastAsia" w:ascii="仿宋_GB2312" w:hAnsi="Times New Roman" w:eastAsia="仿宋_GB2312" w:cs="Times New Roman"/>
                <w:kern w:val="0"/>
                <w:sz w:val="20"/>
                <w:szCs w:val="20"/>
              </w:rPr>
              <w:t>（</w:t>
            </w:r>
            <w:r>
              <w:rPr>
                <w:rFonts w:hint="eastAsia" w:ascii="Times New Roman" w:hAnsi="Times New Roman" w:eastAsia="宋体" w:cs="Times New Roman"/>
                <w:kern w:val="0"/>
                <w:sz w:val="20"/>
                <w:szCs w:val="20"/>
              </w:rPr>
              <w:t>4</w:t>
            </w:r>
            <w:r>
              <w:rPr>
                <w:rFonts w:hint="eastAsia" w:ascii="仿宋_GB2312" w:hAnsi="Times New Roman" w:eastAsia="仿宋_GB2312" w:cs="Times New Roman"/>
                <w:kern w:val="0"/>
                <w:sz w:val="20"/>
                <w:szCs w:val="20"/>
              </w:rPr>
              <w:t>项）</w:t>
            </w:r>
          </w:p>
        </w:tc>
        <w:tc>
          <w:tcPr>
            <w:tcW w:w="1189" w:type="pct"/>
            <w:vMerge w:val="restart"/>
            <w:tcBorders>
              <w:top w:val="nil"/>
              <w:left w:val="nil"/>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hint="eastAsia" w:ascii="仿宋_GB2312" w:hAnsi="Times New Roman" w:eastAsia="仿宋_GB2312" w:cs="Times New Roman"/>
                <w:kern w:val="0"/>
                <w:sz w:val="20"/>
                <w:szCs w:val="20"/>
              </w:rPr>
              <w:t>（</w:t>
            </w:r>
            <w:r>
              <w:rPr>
                <w:rFonts w:ascii="Times New Roman" w:hAnsi="Times New Roman" w:eastAsia="宋体" w:cs="Times New Roman"/>
                <w:kern w:val="0"/>
                <w:sz w:val="20"/>
                <w:szCs w:val="20"/>
              </w:rPr>
              <w:t>7</w:t>
            </w:r>
            <w:r>
              <w:rPr>
                <w:rFonts w:hint="eastAsia" w:ascii="仿宋_GB2312" w:hAnsi="Times New Roman" w:eastAsia="仿宋_GB2312" w:cs="Times New Roman"/>
                <w:kern w:val="0"/>
                <w:sz w:val="20"/>
                <w:szCs w:val="20"/>
              </w:rPr>
              <w:t>）招生章程及特殊类型招生办法，分批次、分科类招生计划</w:t>
            </w:r>
          </w:p>
        </w:tc>
        <w:tc>
          <w:tcPr>
            <w:tcW w:w="2762" w:type="pct"/>
            <w:vMerge w:val="restart"/>
            <w:tcBorders>
              <w:top w:val="nil"/>
              <w:left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https://mp.weixin.qq.com/s/Ey4m49h6Gx7PikEHfrkbDw</w:t>
            </w:r>
          </w:p>
        </w:tc>
        <w:tc>
          <w:tcPr>
            <w:tcW w:w="440" w:type="pct"/>
            <w:tcBorders>
              <w:top w:val="nil"/>
              <w:left w:val="single" w:color="auto" w:sz="4" w:space="0"/>
              <w:bottom w:val="nil"/>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161" w:hRule="atLeast"/>
        </w:trPr>
        <w:tc>
          <w:tcPr>
            <w:tcW w:w="159" w:type="pct"/>
            <w:vMerge w:val="continue"/>
            <w:tcBorders>
              <w:left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450" w:type="pct"/>
            <w:vMerge w:val="continue"/>
            <w:tcBorders>
              <w:left w:val="single" w:color="auto" w:sz="4" w:space="0"/>
              <w:right w:val="single" w:color="auto" w:sz="4" w:space="0"/>
            </w:tcBorders>
            <w:shd w:val="clear" w:color="auto" w:fill="auto"/>
            <w:vAlign w:val="center"/>
          </w:tcPr>
          <w:p>
            <w:pPr>
              <w:widowControl/>
              <w:jc w:val="center"/>
              <w:rPr>
                <w:rFonts w:hint="eastAsia" w:ascii="仿宋_GB2312" w:hAnsi="Times New Roman" w:eastAsia="仿宋_GB2312" w:cs="Times New Roman"/>
                <w:kern w:val="0"/>
                <w:sz w:val="20"/>
                <w:szCs w:val="20"/>
              </w:rPr>
            </w:pPr>
          </w:p>
        </w:tc>
        <w:tc>
          <w:tcPr>
            <w:tcW w:w="1189" w:type="pct"/>
            <w:vMerge w:val="continue"/>
            <w:tcBorders>
              <w:left w:val="nil"/>
              <w:right w:val="single" w:color="auto" w:sz="4" w:space="0"/>
            </w:tcBorders>
            <w:shd w:val="clear" w:color="auto" w:fill="auto"/>
            <w:vAlign w:val="center"/>
          </w:tcPr>
          <w:p>
            <w:pPr>
              <w:widowControl/>
              <w:jc w:val="left"/>
              <w:rPr>
                <w:rFonts w:hint="eastAsia" w:ascii="仿宋_GB2312" w:hAnsi="Times New Roman" w:eastAsia="仿宋_GB2312" w:cs="Times New Roman"/>
                <w:kern w:val="0"/>
                <w:sz w:val="20"/>
                <w:szCs w:val="20"/>
              </w:rPr>
            </w:pPr>
          </w:p>
        </w:tc>
        <w:tc>
          <w:tcPr>
            <w:tcW w:w="2762" w:type="pct"/>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p>
        </w:tc>
        <w:tc>
          <w:tcPr>
            <w:tcW w:w="440" w:type="pct"/>
            <w:tcBorders>
              <w:top w:val="nil"/>
              <w:left w:val="single" w:color="auto" w:sz="4" w:space="0"/>
              <w:bottom w:val="nil"/>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161" w:hRule="atLeast"/>
        </w:trPr>
        <w:tc>
          <w:tcPr>
            <w:tcW w:w="159" w:type="pct"/>
            <w:vMerge w:val="continue"/>
            <w:tcBorders>
              <w:left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450" w:type="pct"/>
            <w:vMerge w:val="continue"/>
            <w:tcBorders>
              <w:left w:val="single" w:color="auto" w:sz="4" w:space="0"/>
              <w:right w:val="single" w:color="auto" w:sz="4" w:space="0"/>
            </w:tcBorders>
            <w:shd w:val="clear" w:color="auto" w:fill="auto"/>
            <w:vAlign w:val="center"/>
          </w:tcPr>
          <w:p>
            <w:pPr>
              <w:widowControl/>
              <w:jc w:val="center"/>
              <w:rPr>
                <w:rFonts w:hint="eastAsia" w:ascii="仿宋_GB2312" w:hAnsi="Times New Roman" w:eastAsia="仿宋_GB2312" w:cs="Times New Roman"/>
                <w:kern w:val="0"/>
                <w:sz w:val="20"/>
                <w:szCs w:val="20"/>
              </w:rPr>
            </w:pPr>
          </w:p>
        </w:tc>
        <w:tc>
          <w:tcPr>
            <w:tcW w:w="1189" w:type="pct"/>
            <w:vMerge w:val="continue"/>
            <w:tcBorders>
              <w:left w:val="nil"/>
              <w:right w:val="single" w:color="auto" w:sz="4" w:space="0"/>
            </w:tcBorders>
            <w:shd w:val="clear" w:color="auto" w:fill="auto"/>
            <w:vAlign w:val="center"/>
          </w:tcPr>
          <w:p>
            <w:pPr>
              <w:widowControl/>
              <w:jc w:val="left"/>
              <w:rPr>
                <w:rFonts w:hint="eastAsia" w:ascii="仿宋_GB2312" w:hAnsi="Times New Roman" w:eastAsia="仿宋_GB2312" w:cs="Times New Roman"/>
                <w:kern w:val="0"/>
                <w:sz w:val="20"/>
                <w:szCs w:val="20"/>
              </w:rPr>
            </w:pPr>
          </w:p>
        </w:tc>
        <w:tc>
          <w:tcPr>
            <w:tcW w:w="2762" w:type="pct"/>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p>
        </w:tc>
        <w:tc>
          <w:tcPr>
            <w:tcW w:w="440" w:type="pct"/>
            <w:tcBorders>
              <w:top w:val="nil"/>
              <w:left w:val="single" w:color="auto" w:sz="4" w:space="0"/>
              <w:bottom w:val="nil"/>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80" w:hRule="atLeast"/>
        </w:trPr>
        <w:tc>
          <w:tcPr>
            <w:tcW w:w="159" w:type="pct"/>
            <w:vMerge w:val="continue"/>
            <w:tcBorders>
              <w:left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450" w:type="pct"/>
            <w:vMerge w:val="continue"/>
            <w:tcBorders>
              <w:left w:val="single" w:color="auto" w:sz="4" w:space="0"/>
              <w:right w:val="single" w:color="auto" w:sz="4" w:space="0"/>
            </w:tcBorders>
            <w:shd w:val="clear" w:color="auto" w:fill="auto"/>
            <w:vAlign w:val="center"/>
          </w:tcPr>
          <w:p>
            <w:pPr>
              <w:widowControl/>
              <w:jc w:val="center"/>
              <w:rPr>
                <w:rFonts w:hint="eastAsia" w:ascii="仿宋_GB2312" w:hAnsi="Times New Roman" w:eastAsia="仿宋_GB2312" w:cs="Times New Roman"/>
                <w:kern w:val="0"/>
                <w:sz w:val="20"/>
                <w:szCs w:val="20"/>
              </w:rPr>
            </w:pPr>
          </w:p>
        </w:tc>
        <w:tc>
          <w:tcPr>
            <w:tcW w:w="1189" w:type="pct"/>
            <w:vMerge w:val="continue"/>
            <w:tcBorders>
              <w:left w:val="nil"/>
              <w:bottom w:val="single" w:color="auto" w:sz="4" w:space="0"/>
              <w:right w:val="single" w:color="auto" w:sz="4" w:space="0"/>
            </w:tcBorders>
            <w:shd w:val="clear" w:color="auto" w:fill="auto"/>
            <w:vAlign w:val="center"/>
          </w:tcPr>
          <w:p>
            <w:pPr>
              <w:widowControl/>
              <w:jc w:val="left"/>
              <w:rPr>
                <w:rFonts w:hint="eastAsia" w:ascii="仿宋_GB2312" w:hAnsi="Times New Roman" w:eastAsia="仿宋_GB2312" w:cs="Times New Roman"/>
                <w:kern w:val="0"/>
                <w:sz w:val="20"/>
                <w:szCs w:val="20"/>
              </w:rPr>
            </w:pPr>
          </w:p>
        </w:tc>
        <w:tc>
          <w:tcPr>
            <w:tcW w:w="2762" w:type="pct"/>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p>
        </w:tc>
        <w:tc>
          <w:tcPr>
            <w:tcW w:w="440" w:type="pct"/>
            <w:tcBorders>
              <w:top w:val="nil"/>
              <w:left w:val="single" w:color="auto" w:sz="4" w:space="0"/>
              <w:bottom w:val="nil"/>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702" w:hRule="atLeast"/>
        </w:trPr>
        <w:tc>
          <w:tcPr>
            <w:tcW w:w="159" w:type="pct"/>
            <w:vMerge w:val="continue"/>
            <w:tcBorders>
              <w:left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left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hint="eastAsia" w:ascii="仿宋_GB2312" w:hAnsi="Times New Roman" w:eastAsia="仿宋_GB2312" w:cs="Times New Roman"/>
                <w:kern w:val="0"/>
                <w:sz w:val="20"/>
                <w:szCs w:val="20"/>
              </w:rPr>
              <w:t>（</w:t>
            </w:r>
            <w:r>
              <w:rPr>
                <w:rFonts w:ascii="Times New Roman" w:hAnsi="Times New Roman" w:eastAsia="宋体" w:cs="Times New Roman"/>
                <w:kern w:val="0"/>
                <w:sz w:val="20"/>
                <w:szCs w:val="20"/>
              </w:rPr>
              <w:t>8</w:t>
            </w:r>
            <w:r>
              <w:rPr>
                <w:rFonts w:hint="eastAsia" w:ascii="仿宋_GB2312" w:hAnsi="Times New Roman" w:eastAsia="仿宋_GB2312" w:cs="Times New Roman"/>
                <w:kern w:val="0"/>
                <w:sz w:val="20"/>
                <w:szCs w:val="20"/>
              </w:rPr>
              <w:t>）保送、自主选拔录取、高水平运动员和艺术特长生招生等特殊类型招生入选考生资格及测试结果</w:t>
            </w:r>
          </w:p>
        </w:tc>
        <w:tc>
          <w:tcPr>
            <w:tcW w:w="2762"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https://mp.weixin.qq.com/s/tYSp87flr-kMi8K81Q7EzA</w:t>
            </w:r>
          </w:p>
        </w:tc>
        <w:tc>
          <w:tcPr>
            <w:tcW w:w="440" w:type="pct"/>
            <w:tcBorders>
              <w:top w:val="nil"/>
              <w:left w:val="single" w:color="auto" w:sz="4" w:space="0"/>
              <w:bottom w:val="nil"/>
              <w:right w:val="single" w:color="auto" w:sz="4" w:space="0"/>
            </w:tcBorders>
            <w:shd w:val="clear" w:color="auto" w:fill="auto"/>
            <w:vAlign w:val="center"/>
          </w:tcPr>
          <w:p>
            <w:pPr>
              <w:widowControl/>
              <w:jc w:val="left"/>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702" w:hRule="atLeast"/>
        </w:trPr>
        <w:tc>
          <w:tcPr>
            <w:tcW w:w="159" w:type="pct"/>
            <w:vMerge w:val="continue"/>
            <w:tcBorders>
              <w:left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left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hint="eastAsia" w:ascii="仿宋_GB2312" w:hAnsi="Times New Roman" w:eastAsia="仿宋_GB2312" w:cs="Times New Roman"/>
                <w:kern w:val="0"/>
                <w:sz w:val="20"/>
                <w:szCs w:val="20"/>
              </w:rPr>
              <w:t>（</w:t>
            </w:r>
            <w:r>
              <w:rPr>
                <w:rFonts w:ascii="Times New Roman" w:hAnsi="Times New Roman" w:eastAsia="宋体" w:cs="Times New Roman"/>
                <w:kern w:val="0"/>
                <w:sz w:val="20"/>
                <w:szCs w:val="20"/>
              </w:rPr>
              <w:t>9</w:t>
            </w:r>
            <w:r>
              <w:rPr>
                <w:rFonts w:hint="eastAsia" w:ascii="仿宋_GB2312" w:hAnsi="Times New Roman" w:eastAsia="仿宋_GB2312" w:cs="Times New Roman"/>
                <w:kern w:val="0"/>
                <w:sz w:val="20"/>
                <w:szCs w:val="20"/>
              </w:rPr>
              <w:t>）考生个人录取信息查询渠道和办法，分批次、分科类录取人数和录取最低分</w:t>
            </w:r>
          </w:p>
        </w:tc>
        <w:tc>
          <w:tcPr>
            <w:tcW w:w="2762"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https://mp.weixin.qq.com/s/q9qMy1yTyB_rZcd5KucnHA</w:t>
            </w:r>
          </w:p>
        </w:tc>
        <w:tc>
          <w:tcPr>
            <w:tcW w:w="440" w:type="pct"/>
            <w:tcBorders>
              <w:top w:val="nil"/>
              <w:left w:val="single" w:color="auto" w:sz="4" w:space="0"/>
              <w:bottom w:val="nil"/>
              <w:right w:val="single" w:color="auto" w:sz="4" w:space="0"/>
            </w:tcBorders>
            <w:shd w:val="clear" w:color="auto" w:fill="auto"/>
            <w:vAlign w:val="center"/>
          </w:tcPr>
          <w:p>
            <w:pPr>
              <w:widowControl/>
              <w:jc w:val="left"/>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761" w:hRule="atLeast"/>
        </w:trPr>
        <w:tc>
          <w:tcPr>
            <w:tcW w:w="159" w:type="pct"/>
            <w:vMerge w:val="continue"/>
            <w:tcBorders>
              <w:left w:val="single" w:color="auto" w:sz="4" w:space="0"/>
              <w:bottom w:val="nil"/>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left w:val="single" w:color="auto" w:sz="4" w:space="0"/>
              <w:bottom w:val="nil"/>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hint="eastAsia" w:ascii="仿宋_GB2312" w:hAnsi="Times New Roman" w:eastAsia="仿宋_GB2312" w:cs="Times New Roman"/>
                <w:kern w:val="0"/>
                <w:sz w:val="20"/>
                <w:szCs w:val="20"/>
              </w:rPr>
              <w:t>（</w:t>
            </w:r>
            <w:r>
              <w:rPr>
                <w:rFonts w:ascii="Times New Roman" w:hAnsi="Times New Roman" w:eastAsia="宋体" w:cs="Times New Roman"/>
                <w:kern w:val="0"/>
                <w:sz w:val="20"/>
                <w:szCs w:val="20"/>
              </w:rPr>
              <w:t>10</w:t>
            </w:r>
            <w:r>
              <w:rPr>
                <w:rFonts w:hint="eastAsia" w:ascii="仿宋_GB2312" w:hAnsi="Times New Roman" w:eastAsia="仿宋_GB2312" w:cs="Times New Roman"/>
                <w:kern w:val="0"/>
                <w:sz w:val="20"/>
                <w:szCs w:val="20"/>
              </w:rPr>
              <w:t>）招生咨询及考生申诉渠道，新生复查期间有关举报、调查及处理结果</w:t>
            </w:r>
          </w:p>
        </w:tc>
        <w:tc>
          <w:tcPr>
            <w:tcW w:w="2762"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https://mp.weixin.qq.com/s/Ey4m49h6Gx7PikEHfrkbDw</w:t>
            </w:r>
          </w:p>
        </w:tc>
        <w:tc>
          <w:tcPr>
            <w:tcW w:w="440" w:type="pct"/>
            <w:tcBorders>
              <w:top w:val="nil"/>
              <w:left w:val="single" w:color="auto" w:sz="4" w:space="0"/>
              <w:bottom w:val="nil"/>
              <w:right w:val="single" w:color="auto" w:sz="4" w:space="0"/>
            </w:tcBorders>
            <w:shd w:val="clear" w:color="auto" w:fill="auto"/>
            <w:vAlign w:val="center"/>
          </w:tcPr>
          <w:p>
            <w:pPr>
              <w:widowControl/>
              <w:jc w:val="left"/>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642" w:hRule="atLeast"/>
        </w:trPr>
        <w:tc>
          <w:tcPr>
            <w:tcW w:w="1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c>
          <w:tcPr>
            <w:tcW w:w="4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仿宋_GB2312" w:hAnsi="Times New Roman" w:eastAsia="仿宋_GB2312" w:cs="Times New Roman"/>
                <w:kern w:val="0"/>
                <w:sz w:val="20"/>
                <w:szCs w:val="20"/>
              </w:rPr>
              <w:t>财务、资产及收费信息</w:t>
            </w:r>
            <w:r>
              <w:rPr>
                <w:rFonts w:hint="eastAsia" w:ascii="仿宋_GB2312" w:hAnsi="Times New Roman" w:eastAsia="仿宋_GB2312" w:cs="Times New Roman"/>
                <w:kern w:val="0"/>
                <w:sz w:val="20"/>
                <w:szCs w:val="20"/>
              </w:rPr>
              <w:br w:type="textWrapping"/>
            </w:r>
            <w:r>
              <w:rPr>
                <w:rFonts w:hint="eastAsia" w:ascii="仿宋_GB2312" w:hAnsi="Times New Roman" w:eastAsia="仿宋_GB2312" w:cs="Times New Roman"/>
                <w:kern w:val="0"/>
                <w:sz w:val="20"/>
                <w:szCs w:val="20"/>
              </w:rPr>
              <w:br w:type="textWrapping"/>
            </w:r>
            <w:r>
              <w:rPr>
                <w:rFonts w:hint="eastAsia" w:ascii="仿宋_GB2312" w:hAnsi="Times New Roman" w:eastAsia="仿宋_GB2312" w:cs="Times New Roman"/>
                <w:kern w:val="0"/>
                <w:sz w:val="20"/>
                <w:szCs w:val="20"/>
              </w:rPr>
              <w:t>（</w:t>
            </w:r>
            <w:r>
              <w:rPr>
                <w:rFonts w:ascii="Times New Roman" w:hAnsi="Times New Roman" w:eastAsia="宋体" w:cs="Times New Roman"/>
                <w:kern w:val="0"/>
                <w:sz w:val="20"/>
                <w:szCs w:val="20"/>
              </w:rPr>
              <w:t>7</w:t>
            </w:r>
            <w:r>
              <w:rPr>
                <w:rFonts w:hint="eastAsia" w:ascii="仿宋_GB2312" w:hAnsi="Times New Roman" w:eastAsia="仿宋_GB2312" w:cs="Times New Roman"/>
                <w:kern w:val="0"/>
                <w:sz w:val="20"/>
                <w:szCs w:val="20"/>
              </w:rPr>
              <w:t>项）</w:t>
            </w:r>
          </w:p>
        </w:tc>
        <w:tc>
          <w:tcPr>
            <w:tcW w:w="1189"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11</w:t>
            </w:r>
            <w:r>
              <w:rPr>
                <w:rFonts w:hint="eastAsia" w:ascii="仿宋_GB2312" w:hAnsi="宋体" w:eastAsia="仿宋_GB2312" w:cs="宋体"/>
                <w:kern w:val="0"/>
                <w:sz w:val="20"/>
                <w:szCs w:val="20"/>
              </w:rPr>
              <w:t>）财务、资产管理制度</w:t>
            </w:r>
          </w:p>
        </w:tc>
        <w:tc>
          <w:tcPr>
            <w:tcW w:w="2762" w:type="pc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http://www.xjyyedu.cn/</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444" w:hRule="atLeast"/>
        </w:trPr>
        <w:tc>
          <w:tcPr>
            <w:tcW w:w="1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12</w:t>
            </w:r>
            <w:r>
              <w:rPr>
                <w:rFonts w:hint="eastAsia" w:ascii="仿宋_GB2312" w:hAnsi="宋体" w:eastAsia="仿宋_GB2312" w:cs="宋体"/>
                <w:kern w:val="0"/>
                <w:sz w:val="20"/>
                <w:szCs w:val="20"/>
              </w:rPr>
              <w:t>）受捐赠财产的使用与管理情况</w:t>
            </w:r>
          </w:p>
        </w:tc>
        <w:tc>
          <w:tcPr>
            <w:tcW w:w="2762" w:type="pc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此项无</w:t>
            </w:r>
          </w:p>
        </w:tc>
      </w:tr>
      <w:tr>
        <w:tblPrEx>
          <w:tblCellMar>
            <w:top w:w="0" w:type="dxa"/>
            <w:left w:w="108" w:type="dxa"/>
            <w:bottom w:w="0" w:type="dxa"/>
            <w:right w:w="108" w:type="dxa"/>
          </w:tblCellMar>
        </w:tblPrEx>
        <w:trPr>
          <w:trHeight w:val="550" w:hRule="atLeast"/>
        </w:trPr>
        <w:tc>
          <w:tcPr>
            <w:tcW w:w="1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13</w:t>
            </w:r>
            <w:r>
              <w:rPr>
                <w:rFonts w:hint="eastAsia" w:ascii="仿宋_GB2312" w:hAnsi="宋体" w:eastAsia="仿宋_GB2312" w:cs="宋体"/>
                <w:kern w:val="0"/>
                <w:sz w:val="20"/>
                <w:szCs w:val="20"/>
              </w:rPr>
              <w:t>）校办企业资产、负债、国有资产保值增值等信息</w:t>
            </w:r>
          </w:p>
        </w:tc>
        <w:tc>
          <w:tcPr>
            <w:tcW w:w="2762" w:type="pc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此项无</w:t>
            </w:r>
          </w:p>
        </w:tc>
      </w:tr>
      <w:tr>
        <w:tblPrEx>
          <w:tblCellMar>
            <w:top w:w="0" w:type="dxa"/>
            <w:left w:w="108" w:type="dxa"/>
            <w:bottom w:w="0" w:type="dxa"/>
            <w:right w:w="108" w:type="dxa"/>
          </w:tblCellMar>
        </w:tblPrEx>
        <w:trPr>
          <w:trHeight w:val="642" w:hRule="atLeast"/>
        </w:trPr>
        <w:tc>
          <w:tcPr>
            <w:tcW w:w="1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14</w:t>
            </w:r>
            <w:r>
              <w:rPr>
                <w:rFonts w:hint="eastAsia" w:ascii="仿宋_GB2312" w:hAnsi="宋体" w:eastAsia="仿宋_GB2312" w:cs="宋体"/>
                <w:kern w:val="0"/>
                <w:sz w:val="20"/>
                <w:szCs w:val="20"/>
              </w:rPr>
              <w:t>）仪器设备、图书、药品等物资设备采购和重大基建工程的招投标</w:t>
            </w:r>
          </w:p>
        </w:tc>
        <w:tc>
          <w:tcPr>
            <w:tcW w:w="2762" w:type="pc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http://www.ccgp.gov.cn/cggg/dfgg/gkzb/202107/t20210719_16575285.htm</w:t>
            </w:r>
            <w:r>
              <w:t xml:space="preserve"> </w:t>
            </w:r>
            <w:r>
              <w:rPr>
                <w:rFonts w:ascii="Times New Roman" w:hAnsi="Times New Roman" w:eastAsia="宋体" w:cs="Times New Roman"/>
                <w:kern w:val="0"/>
                <w:sz w:val="20"/>
                <w:szCs w:val="20"/>
              </w:rPr>
              <w:t>http://www.ccgp.gov.cn/cggg/dfgg/gkzb/202107/t20210705_16513461.htm</w:t>
            </w:r>
            <w:r>
              <w:t xml:space="preserve"> </w:t>
            </w:r>
            <w:r>
              <w:rPr>
                <w:rFonts w:ascii="Times New Roman" w:hAnsi="Times New Roman" w:eastAsia="宋体" w:cs="Times New Roman"/>
                <w:kern w:val="0"/>
                <w:sz w:val="20"/>
                <w:szCs w:val="20"/>
              </w:rPr>
              <w:t>http://www.ccgp.gov.cn/cggg/dfgg/gkzb/202107/t20210705_16513421.htm</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1140" w:hRule="atLeast"/>
        </w:trPr>
        <w:tc>
          <w:tcPr>
            <w:tcW w:w="1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15</w:t>
            </w:r>
            <w:r>
              <w:rPr>
                <w:rFonts w:hint="eastAsia" w:ascii="仿宋_GB2312" w:hAnsi="宋体" w:eastAsia="仿宋_GB2312" w:cs="宋体"/>
                <w:kern w:val="0"/>
                <w:sz w:val="20"/>
                <w:szCs w:val="20"/>
              </w:rPr>
              <w:t>）收支预算总表、收入预算表、支出预算表、财政拨款支出预算表</w:t>
            </w:r>
          </w:p>
        </w:tc>
        <w:tc>
          <w:tcPr>
            <w:tcW w:w="2762"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会议纪要</w:t>
            </w:r>
          </w:p>
        </w:tc>
      </w:tr>
      <w:tr>
        <w:tblPrEx>
          <w:tblCellMar>
            <w:top w:w="0" w:type="dxa"/>
            <w:left w:w="108" w:type="dxa"/>
            <w:bottom w:w="0" w:type="dxa"/>
            <w:right w:w="108" w:type="dxa"/>
          </w:tblCellMar>
        </w:tblPrEx>
        <w:trPr>
          <w:trHeight w:val="1065" w:hRule="atLeast"/>
        </w:trPr>
        <w:tc>
          <w:tcPr>
            <w:tcW w:w="1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16</w:t>
            </w:r>
            <w:r>
              <w:rPr>
                <w:rFonts w:hint="eastAsia" w:ascii="仿宋_GB2312" w:hAnsi="宋体" w:eastAsia="仿宋_GB2312" w:cs="宋体"/>
                <w:kern w:val="0"/>
                <w:sz w:val="20"/>
                <w:szCs w:val="20"/>
              </w:rPr>
              <w:t>）收支决算总表、收入决算表、支出决算表、财政拨款支出决算表</w:t>
            </w:r>
          </w:p>
        </w:tc>
        <w:tc>
          <w:tcPr>
            <w:tcW w:w="2762"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http://www.xjyyedu.cn/a/tongzhigonggao/2021/0819/2209.html</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540" w:hRule="atLeast"/>
        </w:trPr>
        <w:tc>
          <w:tcPr>
            <w:tcW w:w="1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17</w:t>
            </w:r>
            <w:r>
              <w:rPr>
                <w:rFonts w:hint="eastAsia" w:ascii="仿宋_GB2312" w:hAnsi="宋体" w:eastAsia="仿宋_GB2312" w:cs="宋体"/>
                <w:kern w:val="0"/>
                <w:sz w:val="20"/>
                <w:szCs w:val="20"/>
              </w:rPr>
              <w:t>）收费项目、收费依据、收费标准及投诉方式</w:t>
            </w:r>
          </w:p>
        </w:tc>
        <w:tc>
          <w:tcPr>
            <w:tcW w:w="2762"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eastAsia="宋体" w:cs="Times New Roman"/>
                <w:kern w:val="0"/>
              </w:rPr>
              <w:t>http://xjsfgl.xjdrc.gov.cn:88/ndrc_new/showUnitInfo.jsp?userId=no&amp;orgId=140215 http://xjsfgl.xjdrc.gov.cn:88/ndrc_new/showUnitInfo.jsp?userId=no&amp;orgId=137993</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498" w:hRule="atLeast"/>
        </w:trPr>
        <w:tc>
          <w:tcPr>
            <w:tcW w:w="15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4</w:t>
            </w:r>
          </w:p>
        </w:tc>
        <w:tc>
          <w:tcPr>
            <w:tcW w:w="45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仿宋_GB2312" w:hAnsi="Times New Roman" w:eastAsia="仿宋_GB2312" w:cs="Times New Roman"/>
                <w:kern w:val="0"/>
                <w:sz w:val="20"/>
                <w:szCs w:val="20"/>
              </w:rPr>
              <w:t>人事师资信息</w:t>
            </w:r>
            <w:r>
              <w:rPr>
                <w:rFonts w:hint="eastAsia" w:ascii="仿宋_GB2312" w:hAnsi="Times New Roman" w:eastAsia="仿宋_GB2312" w:cs="Times New Roman"/>
                <w:kern w:val="0"/>
                <w:sz w:val="20"/>
                <w:szCs w:val="20"/>
              </w:rPr>
              <w:br w:type="textWrapping"/>
            </w:r>
            <w:r>
              <w:rPr>
                <w:rFonts w:hint="eastAsia" w:ascii="仿宋_GB2312" w:hAnsi="Times New Roman" w:eastAsia="仿宋_GB2312" w:cs="Times New Roman"/>
                <w:kern w:val="0"/>
                <w:sz w:val="20"/>
                <w:szCs w:val="20"/>
              </w:rPr>
              <w:br w:type="textWrapping"/>
            </w:r>
            <w:r>
              <w:rPr>
                <w:rFonts w:hint="eastAsia" w:ascii="仿宋_GB2312" w:hAnsi="Times New Roman" w:eastAsia="仿宋_GB2312" w:cs="Times New Roman"/>
                <w:kern w:val="0"/>
                <w:sz w:val="20"/>
                <w:szCs w:val="20"/>
              </w:rPr>
              <w:t>（</w:t>
            </w:r>
            <w:r>
              <w:rPr>
                <w:rFonts w:ascii="Times New Roman" w:hAnsi="Times New Roman" w:eastAsia="宋体" w:cs="Times New Roman"/>
                <w:kern w:val="0"/>
                <w:sz w:val="20"/>
                <w:szCs w:val="20"/>
              </w:rPr>
              <w:t>5</w:t>
            </w:r>
            <w:r>
              <w:rPr>
                <w:rFonts w:hint="eastAsia" w:ascii="仿宋_GB2312" w:hAnsi="Times New Roman" w:eastAsia="仿宋_GB2312" w:cs="Times New Roman"/>
                <w:kern w:val="0"/>
                <w:sz w:val="20"/>
                <w:szCs w:val="20"/>
              </w:rPr>
              <w:t>项）</w:t>
            </w:r>
          </w:p>
        </w:tc>
        <w:tc>
          <w:tcPr>
            <w:tcW w:w="1189"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18</w:t>
            </w:r>
            <w:r>
              <w:rPr>
                <w:rFonts w:hint="eastAsia" w:ascii="仿宋_GB2312" w:hAnsi="宋体" w:eastAsia="仿宋_GB2312" w:cs="宋体"/>
                <w:kern w:val="0"/>
                <w:sz w:val="20"/>
                <w:szCs w:val="20"/>
              </w:rPr>
              <w:t>）校级领导干部社会兼职情况</w:t>
            </w:r>
          </w:p>
        </w:tc>
        <w:tc>
          <w:tcPr>
            <w:tcW w:w="2762" w:type="pc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p>
        </w:tc>
        <w:tc>
          <w:tcPr>
            <w:tcW w:w="440" w:type="pct"/>
            <w:tcBorders>
              <w:top w:val="nil"/>
              <w:left w:val="single" w:color="auto" w:sz="4" w:space="0"/>
              <w:bottom w:val="single" w:color="000000" w:sz="4" w:space="0"/>
              <w:right w:val="single" w:color="auto" w:sz="4" w:space="0"/>
            </w:tcBorders>
            <w:shd w:val="clear" w:color="auto" w:fill="auto"/>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此项无</w:t>
            </w:r>
          </w:p>
        </w:tc>
      </w:tr>
      <w:tr>
        <w:tblPrEx>
          <w:tblCellMar>
            <w:top w:w="0" w:type="dxa"/>
            <w:left w:w="108" w:type="dxa"/>
            <w:bottom w:w="0" w:type="dxa"/>
            <w:right w:w="108" w:type="dxa"/>
          </w:tblCellMar>
        </w:tblPrEx>
        <w:trPr>
          <w:trHeight w:val="623" w:hRule="atLeast"/>
        </w:trPr>
        <w:tc>
          <w:tcPr>
            <w:tcW w:w="15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19</w:t>
            </w:r>
            <w:r>
              <w:rPr>
                <w:rFonts w:hint="eastAsia" w:ascii="仿宋_GB2312" w:hAnsi="宋体" w:eastAsia="仿宋_GB2312" w:cs="宋体"/>
                <w:kern w:val="0"/>
                <w:sz w:val="20"/>
                <w:szCs w:val="20"/>
              </w:rPr>
              <w:t>）校级领导干部因公出国（境）情况</w:t>
            </w:r>
          </w:p>
        </w:tc>
        <w:tc>
          <w:tcPr>
            <w:tcW w:w="2762" w:type="pc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p>
        </w:tc>
        <w:tc>
          <w:tcPr>
            <w:tcW w:w="440" w:type="pc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此项无</w:t>
            </w:r>
          </w:p>
        </w:tc>
      </w:tr>
      <w:tr>
        <w:tblPrEx>
          <w:tblCellMar>
            <w:top w:w="0" w:type="dxa"/>
            <w:left w:w="108" w:type="dxa"/>
            <w:bottom w:w="0" w:type="dxa"/>
            <w:right w:w="108" w:type="dxa"/>
          </w:tblCellMar>
        </w:tblPrEx>
        <w:trPr>
          <w:trHeight w:val="560" w:hRule="atLeast"/>
        </w:trPr>
        <w:tc>
          <w:tcPr>
            <w:tcW w:w="15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20</w:t>
            </w:r>
            <w:r>
              <w:rPr>
                <w:rFonts w:hint="eastAsia" w:ascii="仿宋_GB2312" w:hAnsi="宋体" w:eastAsia="仿宋_GB2312" w:cs="宋体"/>
                <w:kern w:val="0"/>
                <w:sz w:val="20"/>
                <w:szCs w:val="20"/>
              </w:rPr>
              <w:t>）岗位设置管理与聘用办法</w:t>
            </w:r>
          </w:p>
        </w:tc>
        <w:tc>
          <w:tcPr>
            <w:tcW w:w="2762" w:type="pc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http://www.xjyyedu.cn/</w:t>
            </w:r>
          </w:p>
        </w:tc>
        <w:tc>
          <w:tcPr>
            <w:tcW w:w="440" w:type="pc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554" w:hRule="atLeast"/>
        </w:trPr>
        <w:tc>
          <w:tcPr>
            <w:tcW w:w="15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21</w:t>
            </w:r>
            <w:r>
              <w:rPr>
                <w:rFonts w:hint="eastAsia" w:ascii="仿宋_GB2312" w:hAnsi="宋体" w:eastAsia="仿宋_GB2312" w:cs="宋体"/>
                <w:kern w:val="0"/>
                <w:sz w:val="20"/>
                <w:szCs w:val="20"/>
              </w:rPr>
              <w:t>）校内中层干部任免、人员招聘信息</w:t>
            </w:r>
          </w:p>
        </w:tc>
        <w:tc>
          <w:tcPr>
            <w:tcW w:w="2762" w:type="pc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p>
        </w:tc>
        <w:tc>
          <w:tcPr>
            <w:tcW w:w="440" w:type="pc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公示公告文件（纸质）</w:t>
            </w:r>
          </w:p>
        </w:tc>
      </w:tr>
      <w:tr>
        <w:tblPrEx>
          <w:tblCellMar>
            <w:top w:w="0" w:type="dxa"/>
            <w:left w:w="108" w:type="dxa"/>
            <w:bottom w:w="0" w:type="dxa"/>
            <w:right w:w="108" w:type="dxa"/>
          </w:tblCellMar>
        </w:tblPrEx>
        <w:trPr>
          <w:trHeight w:val="492" w:hRule="atLeast"/>
        </w:trPr>
        <w:tc>
          <w:tcPr>
            <w:tcW w:w="15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22</w:t>
            </w:r>
            <w:r>
              <w:rPr>
                <w:rFonts w:hint="eastAsia" w:ascii="仿宋_GB2312" w:hAnsi="宋体" w:eastAsia="仿宋_GB2312" w:cs="宋体"/>
                <w:kern w:val="0"/>
                <w:sz w:val="20"/>
                <w:szCs w:val="20"/>
              </w:rPr>
              <w:t>）教职工争议解决办法</w:t>
            </w:r>
          </w:p>
        </w:tc>
        <w:tc>
          <w:tcPr>
            <w:tcW w:w="2762" w:type="pc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p>
        </w:tc>
        <w:tc>
          <w:tcPr>
            <w:tcW w:w="440" w:type="pc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以文件形式公布</w:t>
            </w:r>
          </w:p>
        </w:tc>
      </w:tr>
      <w:tr>
        <w:tblPrEx>
          <w:tblCellMar>
            <w:top w:w="0" w:type="dxa"/>
            <w:left w:w="108" w:type="dxa"/>
            <w:bottom w:w="0" w:type="dxa"/>
            <w:right w:w="108" w:type="dxa"/>
          </w:tblCellMar>
        </w:tblPrEx>
        <w:trPr>
          <w:trHeight w:val="570" w:hRule="atLeast"/>
        </w:trPr>
        <w:tc>
          <w:tcPr>
            <w:tcW w:w="15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5</w:t>
            </w:r>
          </w:p>
        </w:tc>
        <w:tc>
          <w:tcPr>
            <w:tcW w:w="450"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仿宋_GB2312" w:hAnsi="Times New Roman" w:eastAsia="仿宋_GB2312" w:cs="Times New Roman"/>
                <w:kern w:val="0"/>
                <w:sz w:val="20"/>
                <w:szCs w:val="20"/>
              </w:rPr>
              <w:t>教学质量信息</w:t>
            </w:r>
            <w:r>
              <w:rPr>
                <w:rFonts w:hint="eastAsia" w:ascii="仿宋_GB2312" w:hAnsi="Times New Roman" w:eastAsia="仿宋_GB2312" w:cs="Times New Roman"/>
                <w:kern w:val="0"/>
                <w:sz w:val="20"/>
                <w:szCs w:val="20"/>
              </w:rPr>
              <w:br w:type="textWrapping"/>
            </w:r>
            <w:r>
              <w:rPr>
                <w:rFonts w:hint="eastAsia" w:ascii="仿宋_GB2312" w:hAnsi="Times New Roman" w:eastAsia="仿宋_GB2312" w:cs="Times New Roman"/>
                <w:kern w:val="0"/>
                <w:sz w:val="20"/>
                <w:szCs w:val="20"/>
              </w:rPr>
              <w:br w:type="textWrapping"/>
            </w:r>
            <w:r>
              <w:rPr>
                <w:rFonts w:hint="eastAsia" w:ascii="仿宋_GB2312" w:hAnsi="Times New Roman" w:eastAsia="仿宋_GB2312" w:cs="Times New Roman"/>
                <w:kern w:val="0"/>
                <w:sz w:val="20"/>
                <w:szCs w:val="20"/>
              </w:rPr>
              <w:t>（</w:t>
            </w:r>
            <w:r>
              <w:rPr>
                <w:rFonts w:ascii="Times New Roman" w:hAnsi="Times New Roman" w:eastAsia="宋体" w:cs="Times New Roman"/>
                <w:kern w:val="0"/>
                <w:sz w:val="20"/>
                <w:szCs w:val="20"/>
              </w:rPr>
              <w:t>9</w:t>
            </w:r>
            <w:r>
              <w:rPr>
                <w:rFonts w:hint="eastAsia" w:ascii="仿宋_GB2312" w:hAnsi="Times New Roman" w:eastAsia="仿宋_GB2312" w:cs="Times New Roman"/>
                <w:kern w:val="0"/>
                <w:sz w:val="20"/>
                <w:szCs w:val="20"/>
              </w:rPr>
              <w:t>项）</w:t>
            </w:r>
          </w:p>
        </w:tc>
        <w:tc>
          <w:tcPr>
            <w:tcW w:w="1189"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23</w:t>
            </w:r>
            <w:r>
              <w:rPr>
                <w:rFonts w:hint="eastAsia" w:ascii="仿宋_GB2312" w:hAnsi="宋体" w:eastAsia="仿宋_GB2312" w:cs="宋体"/>
                <w:kern w:val="0"/>
                <w:sz w:val="20"/>
                <w:szCs w:val="20"/>
              </w:rPr>
              <w:t>）本科生占全日制在校生总数的比例、教师数量及结构</w:t>
            </w:r>
          </w:p>
        </w:tc>
        <w:tc>
          <w:tcPr>
            <w:tcW w:w="2762"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http://www.xjyyedu.cn/a/xueyuangaikuang/index.html#b</w:t>
            </w:r>
          </w:p>
        </w:tc>
        <w:tc>
          <w:tcPr>
            <w:tcW w:w="44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585" w:hRule="atLeast"/>
        </w:trPr>
        <w:tc>
          <w:tcPr>
            <w:tcW w:w="159"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24</w:t>
            </w:r>
            <w:r>
              <w:rPr>
                <w:rFonts w:hint="eastAsia" w:ascii="仿宋_GB2312" w:hAnsi="宋体" w:eastAsia="仿宋_GB2312" w:cs="宋体"/>
                <w:kern w:val="0"/>
                <w:sz w:val="20"/>
                <w:szCs w:val="20"/>
              </w:rPr>
              <w:t>）专业设置、当年新增专业、停招专业名单</w:t>
            </w:r>
          </w:p>
        </w:tc>
        <w:tc>
          <w:tcPr>
            <w:tcW w:w="2762"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http://www.xjyyedu.cn/a/xueyuangaikuang/index.html#b</w:t>
            </w:r>
          </w:p>
        </w:tc>
        <w:tc>
          <w:tcPr>
            <w:tcW w:w="440"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690" w:hRule="atLeast"/>
        </w:trPr>
        <w:tc>
          <w:tcPr>
            <w:tcW w:w="159"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25</w:t>
            </w:r>
            <w:r>
              <w:rPr>
                <w:rFonts w:hint="eastAsia" w:ascii="仿宋_GB2312" w:hAnsi="宋体" w:eastAsia="仿宋_GB2312" w:cs="宋体"/>
                <w:kern w:val="0"/>
                <w:sz w:val="20"/>
                <w:szCs w:val="20"/>
              </w:rPr>
              <w:t>）全校开设课程总门数、实践教学学分占总学分比例、选修课学分占总学分比例</w:t>
            </w:r>
          </w:p>
        </w:tc>
        <w:tc>
          <w:tcPr>
            <w:tcW w:w="276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http://www.xjyyedu.cn/a/xueyuangaikuang/index.html#b</w:t>
            </w:r>
          </w:p>
        </w:tc>
        <w:tc>
          <w:tcPr>
            <w:tcW w:w="440"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560" w:hRule="atLeast"/>
        </w:trPr>
        <w:tc>
          <w:tcPr>
            <w:tcW w:w="159"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26</w:t>
            </w:r>
            <w:r>
              <w:rPr>
                <w:rFonts w:hint="eastAsia" w:ascii="仿宋_GB2312" w:hAnsi="宋体" w:eastAsia="仿宋_GB2312" w:cs="宋体"/>
                <w:kern w:val="0"/>
                <w:sz w:val="20"/>
                <w:szCs w:val="20"/>
              </w:rPr>
              <w:t>）主讲本科课程的教授占教授总数的比例、教授授本科课程占课程总门次数的比例</w:t>
            </w:r>
          </w:p>
        </w:tc>
        <w:tc>
          <w:tcPr>
            <w:tcW w:w="276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40"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555" w:hRule="atLeast"/>
        </w:trPr>
        <w:tc>
          <w:tcPr>
            <w:tcW w:w="159"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27</w:t>
            </w:r>
            <w:r>
              <w:rPr>
                <w:rFonts w:hint="eastAsia" w:ascii="仿宋_GB2312" w:hAnsi="宋体" w:eastAsia="仿宋_GB2312" w:cs="宋体"/>
                <w:kern w:val="0"/>
                <w:sz w:val="20"/>
                <w:szCs w:val="20"/>
              </w:rPr>
              <w:t>）促进毕业生就业的政策措施和指导服务</w:t>
            </w:r>
          </w:p>
        </w:tc>
        <w:tc>
          <w:tcPr>
            <w:tcW w:w="2762" w:type="pc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p>
        </w:tc>
        <w:tc>
          <w:tcPr>
            <w:tcW w:w="440" w:type="pc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仿宋_GB2312" w:hAnsi="宋体" w:eastAsia="仿宋_GB2312" w:cs="宋体"/>
                <w:kern w:val="0"/>
                <w:sz w:val="20"/>
                <w:szCs w:val="20"/>
              </w:rPr>
              <w:t>校内讲座、宣传册、宣传栏</w:t>
            </w:r>
          </w:p>
        </w:tc>
      </w:tr>
      <w:tr>
        <w:tblPrEx>
          <w:tblCellMar>
            <w:top w:w="0" w:type="dxa"/>
            <w:left w:w="108" w:type="dxa"/>
            <w:bottom w:w="0" w:type="dxa"/>
            <w:right w:w="108" w:type="dxa"/>
          </w:tblCellMar>
        </w:tblPrEx>
        <w:trPr>
          <w:trHeight w:val="585" w:hRule="atLeast"/>
        </w:trPr>
        <w:tc>
          <w:tcPr>
            <w:tcW w:w="159"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28</w:t>
            </w:r>
            <w:r>
              <w:rPr>
                <w:rFonts w:hint="eastAsia" w:ascii="仿宋_GB2312" w:hAnsi="宋体" w:eastAsia="仿宋_GB2312" w:cs="宋体"/>
                <w:kern w:val="0"/>
                <w:sz w:val="20"/>
                <w:szCs w:val="20"/>
              </w:rPr>
              <w:t>）毕业生的规模、结构、就业率、就业流向</w:t>
            </w:r>
          </w:p>
        </w:tc>
        <w:tc>
          <w:tcPr>
            <w:tcW w:w="2762" w:type="pc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http://www.xjyyedu.cn/</w:t>
            </w:r>
          </w:p>
        </w:tc>
        <w:tc>
          <w:tcPr>
            <w:tcW w:w="440" w:type="pc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p>
        </w:tc>
      </w:tr>
      <w:tr>
        <w:tblPrEx>
          <w:tblCellMar>
            <w:top w:w="0" w:type="dxa"/>
            <w:left w:w="108" w:type="dxa"/>
            <w:bottom w:w="0" w:type="dxa"/>
            <w:right w:w="108" w:type="dxa"/>
          </w:tblCellMar>
        </w:tblPrEx>
        <w:trPr>
          <w:trHeight w:val="510" w:hRule="atLeast"/>
        </w:trPr>
        <w:tc>
          <w:tcPr>
            <w:tcW w:w="159"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29</w:t>
            </w:r>
            <w:r>
              <w:rPr>
                <w:rFonts w:hint="eastAsia" w:ascii="仿宋_GB2312" w:hAnsi="宋体" w:eastAsia="仿宋_GB2312" w:cs="宋体"/>
                <w:kern w:val="0"/>
                <w:sz w:val="20"/>
                <w:szCs w:val="20"/>
              </w:rPr>
              <w:t>）高校毕业生就业质量年度报告</w:t>
            </w:r>
          </w:p>
        </w:tc>
        <w:tc>
          <w:tcPr>
            <w:tcW w:w="2762" w:type="pc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p>
        </w:tc>
        <w:tc>
          <w:tcPr>
            <w:tcW w:w="440" w:type="pc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仿宋_GB2312" w:hAnsi="宋体" w:eastAsia="仿宋_GB2312" w:cs="宋体"/>
                <w:kern w:val="0"/>
                <w:sz w:val="20"/>
                <w:szCs w:val="20"/>
              </w:rPr>
              <w:t>以文件形式上报教育厅</w:t>
            </w:r>
          </w:p>
        </w:tc>
      </w:tr>
      <w:tr>
        <w:tblPrEx>
          <w:tblCellMar>
            <w:top w:w="0" w:type="dxa"/>
            <w:left w:w="108" w:type="dxa"/>
            <w:bottom w:w="0" w:type="dxa"/>
            <w:right w:w="108" w:type="dxa"/>
          </w:tblCellMar>
        </w:tblPrEx>
        <w:trPr>
          <w:trHeight w:val="900" w:hRule="atLeast"/>
        </w:trPr>
        <w:tc>
          <w:tcPr>
            <w:tcW w:w="159"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30</w:t>
            </w:r>
            <w:r>
              <w:rPr>
                <w:rFonts w:hint="eastAsia" w:ascii="仿宋_GB2312" w:hAnsi="宋体" w:eastAsia="仿宋_GB2312" w:cs="宋体"/>
                <w:kern w:val="0"/>
                <w:sz w:val="20"/>
                <w:szCs w:val="20"/>
              </w:rPr>
              <w:t>）艺术教育发展年度报告</w:t>
            </w:r>
          </w:p>
        </w:tc>
        <w:tc>
          <w:tcPr>
            <w:tcW w:w="2762"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p>
        </w:tc>
        <w:tc>
          <w:tcPr>
            <w:tcW w:w="440" w:type="pct"/>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20"/>
                <w:szCs w:val="20"/>
                <w:lang w:val="en-US" w:eastAsia="zh-CN"/>
              </w:rPr>
            </w:pPr>
            <w:r>
              <w:rPr>
                <w:rFonts w:hint="eastAsia" w:ascii="仿宋_GB2312" w:hAnsi="宋体" w:eastAsia="仿宋_GB2312" w:cs="宋体"/>
                <w:kern w:val="0"/>
                <w:sz w:val="20"/>
                <w:szCs w:val="20"/>
                <w:lang w:val="en-US" w:eastAsia="zh-CN"/>
              </w:rPr>
              <w:t>2020年9月以来艺术教育采取文化艺术活动和社团活动开展，尚未形成专项报告</w:t>
            </w:r>
            <w:bookmarkStart w:id="0" w:name="_GoBack"/>
            <w:bookmarkEnd w:id="0"/>
          </w:p>
        </w:tc>
      </w:tr>
      <w:tr>
        <w:tblPrEx>
          <w:tblCellMar>
            <w:top w:w="0" w:type="dxa"/>
            <w:left w:w="108" w:type="dxa"/>
            <w:bottom w:w="0" w:type="dxa"/>
            <w:right w:w="108" w:type="dxa"/>
          </w:tblCellMar>
        </w:tblPrEx>
        <w:trPr>
          <w:trHeight w:val="1312" w:hRule="atLeast"/>
        </w:trPr>
        <w:tc>
          <w:tcPr>
            <w:tcW w:w="159"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31</w:t>
            </w:r>
            <w:r>
              <w:rPr>
                <w:rFonts w:hint="eastAsia" w:ascii="仿宋_GB2312" w:hAnsi="宋体" w:eastAsia="仿宋_GB2312" w:cs="宋体"/>
                <w:kern w:val="0"/>
                <w:sz w:val="20"/>
                <w:szCs w:val="20"/>
              </w:rPr>
              <w:t>）本科教学质量报告</w:t>
            </w:r>
          </w:p>
        </w:tc>
        <w:tc>
          <w:tcPr>
            <w:tcW w:w="2762"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p>
        </w:tc>
        <w:tc>
          <w:tcPr>
            <w:tcW w:w="44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仿宋_GB2312" w:hAnsi="宋体" w:eastAsia="仿宋_GB2312" w:cs="宋体"/>
                <w:kern w:val="0"/>
                <w:sz w:val="20"/>
                <w:szCs w:val="20"/>
              </w:rPr>
              <w:t>2021年9月开展本科“4+0”教育，尚未形成本科教学质量报告</w:t>
            </w:r>
          </w:p>
        </w:tc>
      </w:tr>
      <w:tr>
        <w:tblPrEx>
          <w:tblCellMar>
            <w:top w:w="0" w:type="dxa"/>
            <w:left w:w="108" w:type="dxa"/>
            <w:bottom w:w="0" w:type="dxa"/>
            <w:right w:w="108" w:type="dxa"/>
          </w:tblCellMar>
        </w:tblPrEx>
        <w:trPr>
          <w:trHeight w:val="702" w:hRule="atLeast"/>
        </w:trPr>
        <w:tc>
          <w:tcPr>
            <w:tcW w:w="15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6</w:t>
            </w:r>
          </w:p>
        </w:tc>
        <w:tc>
          <w:tcPr>
            <w:tcW w:w="450"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仿宋_GB2312" w:hAnsi="Times New Roman" w:eastAsia="仿宋_GB2312" w:cs="Times New Roman"/>
                <w:kern w:val="0"/>
                <w:sz w:val="20"/>
                <w:szCs w:val="20"/>
              </w:rPr>
              <w:t>学生管理服务信息</w:t>
            </w:r>
            <w:r>
              <w:rPr>
                <w:rFonts w:hint="eastAsia" w:ascii="仿宋_GB2312" w:hAnsi="Times New Roman" w:eastAsia="仿宋_GB2312" w:cs="Times New Roman"/>
                <w:kern w:val="0"/>
                <w:sz w:val="20"/>
                <w:szCs w:val="20"/>
              </w:rPr>
              <w:br w:type="textWrapping"/>
            </w:r>
            <w:r>
              <w:rPr>
                <w:rFonts w:hint="eastAsia" w:ascii="仿宋_GB2312" w:hAnsi="Times New Roman" w:eastAsia="仿宋_GB2312" w:cs="Times New Roman"/>
                <w:kern w:val="0"/>
                <w:sz w:val="20"/>
                <w:szCs w:val="20"/>
              </w:rPr>
              <w:br w:type="textWrapping"/>
            </w:r>
            <w:r>
              <w:rPr>
                <w:rFonts w:hint="eastAsia" w:ascii="仿宋_GB2312" w:hAnsi="Times New Roman" w:eastAsia="仿宋_GB2312" w:cs="Times New Roman"/>
                <w:kern w:val="0"/>
                <w:sz w:val="20"/>
                <w:szCs w:val="20"/>
              </w:rPr>
              <w:t>（</w:t>
            </w:r>
            <w:r>
              <w:rPr>
                <w:rFonts w:ascii="Times New Roman" w:hAnsi="Times New Roman" w:eastAsia="宋体" w:cs="Times New Roman"/>
                <w:kern w:val="0"/>
                <w:sz w:val="20"/>
                <w:szCs w:val="20"/>
              </w:rPr>
              <w:t>4</w:t>
            </w:r>
            <w:r>
              <w:rPr>
                <w:rFonts w:hint="eastAsia" w:ascii="仿宋_GB2312" w:hAnsi="Times New Roman" w:eastAsia="仿宋_GB2312" w:cs="Times New Roman"/>
                <w:kern w:val="0"/>
                <w:sz w:val="20"/>
                <w:szCs w:val="20"/>
              </w:rPr>
              <w:t>项）</w:t>
            </w:r>
          </w:p>
        </w:tc>
        <w:tc>
          <w:tcPr>
            <w:tcW w:w="1189"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32</w:t>
            </w:r>
            <w:r>
              <w:rPr>
                <w:rFonts w:hint="eastAsia" w:ascii="仿宋_GB2312" w:hAnsi="宋体" w:eastAsia="仿宋_GB2312" w:cs="宋体"/>
                <w:kern w:val="0"/>
                <w:sz w:val="20"/>
                <w:szCs w:val="20"/>
              </w:rPr>
              <w:t>）学籍管理办法</w:t>
            </w:r>
          </w:p>
        </w:tc>
        <w:tc>
          <w:tcPr>
            <w:tcW w:w="2762" w:type="pc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p>
        </w:tc>
        <w:tc>
          <w:tcPr>
            <w:tcW w:w="440" w:type="pc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以文件形式公布</w:t>
            </w:r>
          </w:p>
        </w:tc>
      </w:tr>
      <w:tr>
        <w:tblPrEx>
          <w:tblCellMar>
            <w:top w:w="0" w:type="dxa"/>
            <w:left w:w="108" w:type="dxa"/>
            <w:bottom w:w="0" w:type="dxa"/>
            <w:right w:w="108" w:type="dxa"/>
          </w:tblCellMar>
        </w:tblPrEx>
        <w:trPr>
          <w:trHeight w:val="702" w:hRule="atLeast"/>
        </w:trPr>
        <w:tc>
          <w:tcPr>
            <w:tcW w:w="159"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33</w:t>
            </w:r>
            <w:r>
              <w:rPr>
                <w:rFonts w:hint="eastAsia" w:ascii="仿宋_GB2312" w:hAnsi="宋体" w:eastAsia="仿宋_GB2312" w:cs="宋体"/>
                <w:kern w:val="0"/>
                <w:sz w:val="20"/>
                <w:szCs w:val="20"/>
              </w:rPr>
              <w:t>）学生奖学金、助学金、学费减免、助学贷款、勤工俭学的申请与管理规定</w:t>
            </w:r>
          </w:p>
        </w:tc>
        <w:tc>
          <w:tcPr>
            <w:tcW w:w="2762" w:type="pc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http://www.xjyyedu.cn/</w:t>
            </w:r>
          </w:p>
        </w:tc>
        <w:tc>
          <w:tcPr>
            <w:tcW w:w="440" w:type="pc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702" w:hRule="atLeast"/>
        </w:trPr>
        <w:tc>
          <w:tcPr>
            <w:tcW w:w="159"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34</w:t>
            </w:r>
            <w:r>
              <w:rPr>
                <w:rFonts w:hint="eastAsia" w:ascii="仿宋_GB2312" w:hAnsi="宋体" w:eastAsia="仿宋_GB2312" w:cs="宋体"/>
                <w:kern w:val="0"/>
                <w:sz w:val="20"/>
                <w:szCs w:val="20"/>
              </w:rPr>
              <w:t>）学生奖励处罚办法</w:t>
            </w:r>
          </w:p>
        </w:tc>
        <w:tc>
          <w:tcPr>
            <w:tcW w:w="2762"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p>
        </w:tc>
        <w:tc>
          <w:tcPr>
            <w:tcW w:w="440"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eastAsia="仿宋_GB2312"/>
                <w:sz w:val="20"/>
                <w:szCs w:val="20"/>
              </w:rPr>
              <w:t>以制度汇编、学生管理手册等形式公布</w:t>
            </w:r>
          </w:p>
        </w:tc>
      </w:tr>
      <w:tr>
        <w:tblPrEx>
          <w:tblCellMar>
            <w:top w:w="0" w:type="dxa"/>
            <w:left w:w="108" w:type="dxa"/>
            <w:bottom w:w="0" w:type="dxa"/>
            <w:right w:w="108" w:type="dxa"/>
          </w:tblCellMar>
        </w:tblPrEx>
        <w:trPr>
          <w:trHeight w:val="702" w:hRule="atLeast"/>
        </w:trPr>
        <w:tc>
          <w:tcPr>
            <w:tcW w:w="159"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35</w:t>
            </w:r>
            <w:r>
              <w:rPr>
                <w:rFonts w:hint="eastAsia" w:ascii="仿宋_GB2312" w:hAnsi="宋体" w:eastAsia="仿宋_GB2312" w:cs="宋体"/>
                <w:kern w:val="0"/>
                <w:sz w:val="20"/>
                <w:szCs w:val="20"/>
              </w:rPr>
              <w:t>）学生申诉办法</w:t>
            </w:r>
          </w:p>
        </w:tc>
        <w:tc>
          <w:tcPr>
            <w:tcW w:w="2762"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p>
        </w:tc>
        <w:tc>
          <w:tcPr>
            <w:tcW w:w="440"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585" w:hRule="atLeast"/>
        </w:trPr>
        <w:tc>
          <w:tcPr>
            <w:tcW w:w="15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7</w:t>
            </w:r>
          </w:p>
        </w:tc>
        <w:tc>
          <w:tcPr>
            <w:tcW w:w="450"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仿宋_GB2312" w:hAnsi="Times New Roman" w:eastAsia="仿宋_GB2312" w:cs="Times New Roman"/>
                <w:kern w:val="0"/>
                <w:sz w:val="20"/>
                <w:szCs w:val="20"/>
              </w:rPr>
              <w:t>学风建设信息</w:t>
            </w:r>
            <w:r>
              <w:rPr>
                <w:rFonts w:hint="eastAsia" w:ascii="仿宋_GB2312" w:hAnsi="Times New Roman" w:eastAsia="仿宋_GB2312" w:cs="Times New Roman"/>
                <w:kern w:val="0"/>
                <w:sz w:val="20"/>
                <w:szCs w:val="20"/>
              </w:rPr>
              <w:br w:type="textWrapping"/>
            </w:r>
            <w:r>
              <w:rPr>
                <w:rFonts w:hint="eastAsia" w:ascii="仿宋_GB2312" w:hAnsi="Times New Roman" w:eastAsia="仿宋_GB2312" w:cs="Times New Roman"/>
                <w:kern w:val="0"/>
                <w:sz w:val="20"/>
                <w:szCs w:val="20"/>
              </w:rPr>
              <w:t>（</w:t>
            </w:r>
            <w:r>
              <w:rPr>
                <w:rFonts w:ascii="Times New Roman" w:hAnsi="Times New Roman" w:eastAsia="宋体" w:cs="Times New Roman"/>
                <w:kern w:val="0"/>
                <w:sz w:val="20"/>
                <w:szCs w:val="20"/>
              </w:rPr>
              <w:t>3</w:t>
            </w:r>
            <w:r>
              <w:rPr>
                <w:rFonts w:hint="eastAsia" w:ascii="仿宋_GB2312" w:hAnsi="Times New Roman" w:eastAsia="仿宋_GB2312" w:cs="Times New Roman"/>
                <w:kern w:val="0"/>
                <w:sz w:val="20"/>
                <w:szCs w:val="20"/>
              </w:rPr>
              <w:t>项）</w:t>
            </w:r>
          </w:p>
        </w:tc>
        <w:tc>
          <w:tcPr>
            <w:tcW w:w="1189"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36</w:t>
            </w:r>
            <w:r>
              <w:rPr>
                <w:rFonts w:hint="eastAsia" w:ascii="仿宋_GB2312" w:hAnsi="宋体" w:eastAsia="仿宋_GB2312" w:cs="宋体"/>
                <w:kern w:val="0"/>
                <w:sz w:val="20"/>
                <w:szCs w:val="20"/>
              </w:rPr>
              <w:t>）学风建设机构</w:t>
            </w:r>
          </w:p>
        </w:tc>
        <w:tc>
          <w:tcPr>
            <w:tcW w:w="2762" w:type="pc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p>
        </w:tc>
        <w:tc>
          <w:tcPr>
            <w:tcW w:w="44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以文件形式公布</w:t>
            </w:r>
          </w:p>
        </w:tc>
      </w:tr>
      <w:tr>
        <w:tblPrEx>
          <w:tblCellMar>
            <w:top w:w="0" w:type="dxa"/>
            <w:left w:w="108" w:type="dxa"/>
            <w:bottom w:w="0" w:type="dxa"/>
            <w:right w:w="108" w:type="dxa"/>
          </w:tblCellMar>
        </w:tblPrEx>
        <w:trPr>
          <w:trHeight w:val="645" w:hRule="atLeast"/>
        </w:trPr>
        <w:tc>
          <w:tcPr>
            <w:tcW w:w="159"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37</w:t>
            </w:r>
            <w:r>
              <w:rPr>
                <w:rFonts w:hint="eastAsia" w:ascii="仿宋_GB2312" w:hAnsi="宋体" w:eastAsia="仿宋_GB2312" w:cs="宋体"/>
                <w:kern w:val="0"/>
                <w:sz w:val="20"/>
                <w:szCs w:val="20"/>
              </w:rPr>
              <w:t>）学术规范制度</w:t>
            </w:r>
          </w:p>
        </w:tc>
        <w:tc>
          <w:tcPr>
            <w:tcW w:w="2762" w:type="pc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eastAsia="仿宋_GB2312"/>
                <w:sz w:val="20"/>
                <w:szCs w:val="20"/>
              </w:rPr>
              <w:t>以制度汇编形式公布</w:t>
            </w:r>
          </w:p>
        </w:tc>
      </w:tr>
      <w:tr>
        <w:tblPrEx>
          <w:tblCellMar>
            <w:top w:w="0" w:type="dxa"/>
            <w:left w:w="108" w:type="dxa"/>
            <w:bottom w:w="0" w:type="dxa"/>
            <w:right w:w="108" w:type="dxa"/>
          </w:tblCellMar>
        </w:tblPrEx>
        <w:trPr>
          <w:trHeight w:val="645" w:hRule="atLeast"/>
        </w:trPr>
        <w:tc>
          <w:tcPr>
            <w:tcW w:w="159"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38</w:t>
            </w:r>
            <w:r>
              <w:rPr>
                <w:rFonts w:hint="eastAsia" w:ascii="仿宋_GB2312" w:hAnsi="宋体" w:eastAsia="仿宋_GB2312" w:cs="宋体"/>
                <w:kern w:val="0"/>
                <w:sz w:val="20"/>
                <w:szCs w:val="20"/>
              </w:rPr>
              <w:t>）学术不端行为查处机制</w:t>
            </w:r>
          </w:p>
        </w:tc>
        <w:tc>
          <w:tcPr>
            <w:tcW w:w="2762" w:type="pc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eastAsia="仿宋_GB2312"/>
                <w:sz w:val="20"/>
                <w:szCs w:val="20"/>
              </w:rPr>
              <w:t>以制度汇编形式公布</w:t>
            </w:r>
          </w:p>
        </w:tc>
      </w:tr>
      <w:tr>
        <w:tblPrEx>
          <w:tblCellMar>
            <w:top w:w="0" w:type="dxa"/>
            <w:left w:w="108" w:type="dxa"/>
            <w:bottom w:w="0" w:type="dxa"/>
            <w:right w:w="108" w:type="dxa"/>
          </w:tblCellMar>
        </w:tblPrEx>
        <w:trPr>
          <w:trHeight w:val="900" w:hRule="atLeast"/>
        </w:trPr>
        <w:tc>
          <w:tcPr>
            <w:tcW w:w="15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8</w:t>
            </w:r>
          </w:p>
        </w:tc>
        <w:tc>
          <w:tcPr>
            <w:tcW w:w="450"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仿宋_GB2312" w:hAnsi="Times New Roman" w:eastAsia="仿宋_GB2312" w:cs="Times New Roman"/>
                <w:kern w:val="0"/>
                <w:sz w:val="20"/>
                <w:szCs w:val="20"/>
              </w:rPr>
              <w:t>学位、学科信息</w:t>
            </w:r>
            <w:r>
              <w:rPr>
                <w:rFonts w:ascii="仿宋_GB2312" w:hAnsi="Times New Roman" w:eastAsia="仿宋_GB2312" w:cs="Times New Roman"/>
                <w:kern w:val="0"/>
                <w:sz w:val="20"/>
                <w:szCs w:val="20"/>
              </w:rPr>
              <w:br w:type="textWrapping"/>
            </w:r>
            <w:r>
              <w:rPr>
                <w:rFonts w:ascii="仿宋_GB2312" w:hAnsi="Times New Roman" w:eastAsia="仿宋_GB2312" w:cs="Times New Roman"/>
                <w:kern w:val="0"/>
                <w:sz w:val="20"/>
                <w:szCs w:val="20"/>
              </w:rPr>
              <w:br w:type="textWrapping"/>
            </w:r>
            <w:r>
              <w:rPr>
                <w:rFonts w:ascii="仿宋_GB2312" w:hAnsi="Times New Roman" w:eastAsia="仿宋_GB2312" w:cs="Times New Roman"/>
                <w:kern w:val="0"/>
                <w:sz w:val="20"/>
                <w:szCs w:val="20"/>
              </w:rPr>
              <w:t>（</w:t>
            </w:r>
            <w:r>
              <w:rPr>
                <w:rFonts w:hint="eastAsia" w:ascii="仿宋_GB2312" w:hAnsi="Times New Roman" w:eastAsia="仿宋_GB2312" w:cs="Times New Roman"/>
                <w:kern w:val="0"/>
                <w:sz w:val="20"/>
                <w:szCs w:val="20"/>
              </w:rPr>
              <w:t>1</w:t>
            </w:r>
            <w:r>
              <w:rPr>
                <w:rFonts w:ascii="仿宋_GB2312" w:hAnsi="Times New Roman" w:eastAsia="仿宋_GB2312" w:cs="Times New Roman"/>
                <w:kern w:val="0"/>
                <w:sz w:val="20"/>
                <w:szCs w:val="20"/>
              </w:rPr>
              <w:t>项）</w:t>
            </w:r>
          </w:p>
        </w:tc>
        <w:tc>
          <w:tcPr>
            <w:tcW w:w="118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仿宋_GB2312" w:hAnsi="宋体" w:eastAsia="仿宋_GB2312" w:cs="宋体"/>
                <w:kern w:val="0"/>
                <w:sz w:val="20"/>
                <w:szCs w:val="20"/>
              </w:rPr>
              <w:t>（</w:t>
            </w:r>
            <w:r>
              <w:rPr>
                <w:rFonts w:ascii="仿宋_GB2312" w:hAnsi="宋体" w:eastAsia="仿宋_GB2312" w:cs="宋体"/>
                <w:kern w:val="0"/>
                <w:sz w:val="20"/>
                <w:szCs w:val="20"/>
              </w:rPr>
              <w:t>39</w:t>
            </w:r>
            <w:r>
              <w:rPr>
                <w:rFonts w:hint="eastAsia" w:ascii="仿宋_GB2312" w:hAnsi="宋体" w:eastAsia="仿宋_GB2312" w:cs="宋体"/>
                <w:kern w:val="0"/>
                <w:sz w:val="20"/>
                <w:szCs w:val="20"/>
              </w:rPr>
              <w:t>）拟新增学位授权学科或专业学位授权点的申报及论证材料</w:t>
            </w:r>
          </w:p>
        </w:tc>
        <w:tc>
          <w:tcPr>
            <w:tcW w:w="276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p>
        </w:tc>
        <w:tc>
          <w:tcPr>
            <w:tcW w:w="44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仿宋_GB2312" w:hAnsi="宋体" w:eastAsia="仿宋_GB2312" w:cs="宋体"/>
                <w:kern w:val="0"/>
                <w:sz w:val="20"/>
                <w:szCs w:val="20"/>
              </w:rPr>
              <w:t>以与塔里木大学开展“4+0”本科教育，学士学位由塔里木大学授予</w:t>
            </w:r>
          </w:p>
        </w:tc>
      </w:tr>
      <w:tr>
        <w:tblPrEx>
          <w:tblCellMar>
            <w:top w:w="0" w:type="dxa"/>
            <w:left w:w="108" w:type="dxa"/>
            <w:bottom w:w="0" w:type="dxa"/>
            <w:right w:w="108" w:type="dxa"/>
          </w:tblCellMar>
        </w:tblPrEx>
        <w:trPr>
          <w:trHeight w:val="780" w:hRule="atLeast"/>
        </w:trPr>
        <w:tc>
          <w:tcPr>
            <w:tcW w:w="15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szCs w:val="20"/>
              </w:rPr>
            </w:pPr>
          </w:p>
        </w:tc>
        <w:tc>
          <w:tcPr>
            <w:tcW w:w="2762"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44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trHeight w:val="795" w:hRule="atLeast"/>
        </w:trPr>
        <w:tc>
          <w:tcPr>
            <w:tcW w:w="15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szCs w:val="20"/>
              </w:rPr>
            </w:pPr>
          </w:p>
        </w:tc>
        <w:tc>
          <w:tcPr>
            <w:tcW w:w="2762"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44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trHeight w:val="312" w:hRule="atLeast"/>
        </w:trPr>
        <w:tc>
          <w:tcPr>
            <w:tcW w:w="15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szCs w:val="20"/>
              </w:rPr>
            </w:pPr>
          </w:p>
        </w:tc>
        <w:tc>
          <w:tcPr>
            <w:tcW w:w="2762"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44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trHeight w:val="478" w:hRule="atLeast"/>
        </w:trPr>
        <w:tc>
          <w:tcPr>
            <w:tcW w:w="15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10</w:t>
            </w:r>
          </w:p>
        </w:tc>
        <w:tc>
          <w:tcPr>
            <w:tcW w:w="450"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仿宋_GB2312" w:hAnsi="Times New Roman" w:eastAsia="仿宋_GB2312" w:cs="Times New Roman"/>
                <w:kern w:val="0"/>
                <w:sz w:val="20"/>
                <w:szCs w:val="20"/>
              </w:rPr>
              <w:t>其他</w:t>
            </w:r>
            <w:r>
              <w:rPr>
                <w:rFonts w:hint="eastAsia" w:ascii="仿宋_GB2312" w:hAnsi="Times New Roman" w:eastAsia="仿宋_GB2312" w:cs="Times New Roman"/>
                <w:kern w:val="0"/>
                <w:sz w:val="20"/>
                <w:szCs w:val="20"/>
              </w:rPr>
              <w:br w:type="textWrapping"/>
            </w:r>
            <w:r>
              <w:rPr>
                <w:rFonts w:hint="eastAsia" w:ascii="仿宋_GB2312" w:hAnsi="Times New Roman" w:eastAsia="仿宋_GB2312" w:cs="Times New Roman"/>
                <w:kern w:val="0"/>
                <w:sz w:val="20"/>
                <w:szCs w:val="20"/>
              </w:rPr>
              <w:br w:type="textWrapping"/>
            </w:r>
            <w:r>
              <w:rPr>
                <w:rFonts w:hint="eastAsia" w:ascii="仿宋_GB2312" w:hAnsi="Times New Roman" w:eastAsia="仿宋_GB2312" w:cs="Times New Roman"/>
                <w:kern w:val="0"/>
                <w:sz w:val="20"/>
                <w:szCs w:val="20"/>
              </w:rPr>
              <w:t>（</w:t>
            </w:r>
            <w:r>
              <w:rPr>
                <w:rFonts w:ascii="Times New Roman" w:hAnsi="Times New Roman" w:eastAsia="宋体" w:cs="Times New Roman"/>
                <w:kern w:val="0"/>
                <w:sz w:val="20"/>
                <w:szCs w:val="20"/>
              </w:rPr>
              <w:t>2</w:t>
            </w:r>
            <w:r>
              <w:rPr>
                <w:rFonts w:hint="eastAsia" w:ascii="仿宋_GB2312" w:hAnsi="Times New Roman" w:eastAsia="仿宋_GB2312" w:cs="Times New Roman"/>
                <w:kern w:val="0"/>
                <w:sz w:val="20"/>
                <w:szCs w:val="20"/>
              </w:rPr>
              <w:t>项）</w:t>
            </w:r>
          </w:p>
        </w:tc>
        <w:tc>
          <w:tcPr>
            <w:tcW w:w="1189"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40</w:t>
            </w:r>
            <w:r>
              <w:rPr>
                <w:rFonts w:hint="eastAsia" w:ascii="仿宋_GB2312" w:hAnsi="宋体" w:eastAsia="仿宋_GB2312" w:cs="宋体"/>
                <w:kern w:val="0"/>
                <w:sz w:val="20"/>
                <w:szCs w:val="20"/>
              </w:rPr>
              <w:t>）巡视组反馈意见，落实反馈意见整改情况</w:t>
            </w:r>
          </w:p>
        </w:tc>
        <w:tc>
          <w:tcPr>
            <w:tcW w:w="2762" w:type="pct"/>
            <w:tcBorders>
              <w:top w:val="nil"/>
              <w:left w:val="nil"/>
              <w:bottom w:val="nil"/>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p>
        </w:tc>
        <w:tc>
          <w:tcPr>
            <w:tcW w:w="440" w:type="pct"/>
            <w:tcBorders>
              <w:top w:val="nil"/>
              <w:left w:val="nil"/>
              <w:bottom w:val="nil"/>
              <w:right w:val="single" w:color="auto"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以按州党委第三巡察组要求完成巡察整改</w:t>
            </w:r>
          </w:p>
        </w:tc>
      </w:tr>
      <w:tr>
        <w:tblPrEx>
          <w:tblCellMar>
            <w:top w:w="0" w:type="dxa"/>
            <w:left w:w="108" w:type="dxa"/>
            <w:bottom w:w="0" w:type="dxa"/>
            <w:right w:w="108" w:type="dxa"/>
          </w:tblCellMar>
        </w:tblPrEx>
        <w:trPr>
          <w:trHeight w:val="960" w:hRule="atLeast"/>
        </w:trPr>
        <w:tc>
          <w:tcPr>
            <w:tcW w:w="159"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41</w:t>
            </w:r>
            <w:r>
              <w:rPr>
                <w:rFonts w:hint="eastAsia" w:ascii="仿宋_GB2312" w:hAnsi="宋体" w:eastAsia="仿宋_GB2312" w:cs="宋体"/>
                <w:kern w:val="0"/>
                <w:sz w:val="20"/>
                <w:szCs w:val="20"/>
              </w:rPr>
              <w:t>）自然灾害等突发事件的应急处理预案、预警信息和处置情况，涉及学校的重大事件的调查和处理情况</w:t>
            </w:r>
          </w:p>
        </w:tc>
        <w:tc>
          <w:tcPr>
            <w:tcW w:w="2762"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p>
        </w:tc>
        <w:tc>
          <w:tcPr>
            <w:tcW w:w="44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以文件形式公布</w:t>
            </w:r>
          </w:p>
        </w:tc>
      </w:tr>
    </w:tbl>
    <w:p>
      <w:pPr>
        <w:spacing w:line="560" w:lineRule="exact"/>
        <w:ind w:firstLine="5600" w:firstLineChars="1750"/>
        <w:rPr>
          <w:rFonts w:ascii="仿宋_GB2312" w:eastAsia="仿宋_GB2312"/>
          <w:sz w:val="32"/>
          <w:szCs w:val="32"/>
        </w:rPr>
      </w:pPr>
    </w:p>
    <w:sectPr>
      <w:footerReference r:id="rId4"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0629"/>
      <w:docPartObj>
        <w:docPartGallery w:val="autotext"/>
      </w:docPartObj>
    </w:sdtPr>
    <w:sdtContent>
      <w:p>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9sZGvRAAAAAgEAAA8AAAAAAAAAAQAgAAAAIgAAAGRycy9kb3ducmV2LnhtbFBLAQIUABQAAAAI&#10;AIdO4kAD09VxLQIAAFIEAAAOAAAAAAAAAAEAIAAAACABAABkcnMvZTJvRG9jLnhtbFBLBQYAAAAA&#10;BgAGAFkBAAC/BQ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DDE"/>
    <w:rsid w:val="00024676"/>
    <w:rsid w:val="000631A6"/>
    <w:rsid w:val="00073F91"/>
    <w:rsid w:val="00080333"/>
    <w:rsid w:val="00087471"/>
    <w:rsid w:val="0009409D"/>
    <w:rsid w:val="000A0267"/>
    <w:rsid w:val="000B47FD"/>
    <w:rsid w:val="000E1DDE"/>
    <w:rsid w:val="000F446E"/>
    <w:rsid w:val="001015A8"/>
    <w:rsid w:val="00101B08"/>
    <w:rsid w:val="00134E22"/>
    <w:rsid w:val="001577FF"/>
    <w:rsid w:val="001912A5"/>
    <w:rsid w:val="001A1F37"/>
    <w:rsid w:val="001B0B2B"/>
    <w:rsid w:val="001B3B1B"/>
    <w:rsid w:val="001B4767"/>
    <w:rsid w:val="001E70A0"/>
    <w:rsid w:val="001F67CE"/>
    <w:rsid w:val="00222A89"/>
    <w:rsid w:val="002718F2"/>
    <w:rsid w:val="002B62E9"/>
    <w:rsid w:val="002D4AE3"/>
    <w:rsid w:val="00303DE6"/>
    <w:rsid w:val="00324C1E"/>
    <w:rsid w:val="003313BF"/>
    <w:rsid w:val="003516FA"/>
    <w:rsid w:val="00357A7C"/>
    <w:rsid w:val="003847AF"/>
    <w:rsid w:val="00394A44"/>
    <w:rsid w:val="003B255A"/>
    <w:rsid w:val="003C7427"/>
    <w:rsid w:val="004004FB"/>
    <w:rsid w:val="004029E6"/>
    <w:rsid w:val="0045505C"/>
    <w:rsid w:val="0047582D"/>
    <w:rsid w:val="00493C41"/>
    <w:rsid w:val="00496A6C"/>
    <w:rsid w:val="004C0804"/>
    <w:rsid w:val="004C61A2"/>
    <w:rsid w:val="004F734B"/>
    <w:rsid w:val="00536A99"/>
    <w:rsid w:val="0053779A"/>
    <w:rsid w:val="00576B59"/>
    <w:rsid w:val="00592D49"/>
    <w:rsid w:val="005C5FD3"/>
    <w:rsid w:val="005D1A6F"/>
    <w:rsid w:val="005F1BFF"/>
    <w:rsid w:val="0061363D"/>
    <w:rsid w:val="00635E0A"/>
    <w:rsid w:val="00645108"/>
    <w:rsid w:val="00653FB1"/>
    <w:rsid w:val="00665850"/>
    <w:rsid w:val="0066794A"/>
    <w:rsid w:val="006A2F4A"/>
    <w:rsid w:val="006C2FD9"/>
    <w:rsid w:val="006C7F47"/>
    <w:rsid w:val="006F1277"/>
    <w:rsid w:val="00726DD5"/>
    <w:rsid w:val="00760E26"/>
    <w:rsid w:val="00763AC3"/>
    <w:rsid w:val="007D2233"/>
    <w:rsid w:val="007F78E2"/>
    <w:rsid w:val="008015EC"/>
    <w:rsid w:val="00810E14"/>
    <w:rsid w:val="008858BA"/>
    <w:rsid w:val="008C26E6"/>
    <w:rsid w:val="008E501A"/>
    <w:rsid w:val="008E71F9"/>
    <w:rsid w:val="008F59EA"/>
    <w:rsid w:val="00904091"/>
    <w:rsid w:val="009213F1"/>
    <w:rsid w:val="009801C3"/>
    <w:rsid w:val="00987014"/>
    <w:rsid w:val="00996E56"/>
    <w:rsid w:val="009E3107"/>
    <w:rsid w:val="00A14882"/>
    <w:rsid w:val="00A84F75"/>
    <w:rsid w:val="00A9410E"/>
    <w:rsid w:val="00AE0F77"/>
    <w:rsid w:val="00AE21B3"/>
    <w:rsid w:val="00AE522C"/>
    <w:rsid w:val="00B224EB"/>
    <w:rsid w:val="00B56977"/>
    <w:rsid w:val="00B61D00"/>
    <w:rsid w:val="00B94130"/>
    <w:rsid w:val="00BA032C"/>
    <w:rsid w:val="00BB6927"/>
    <w:rsid w:val="00BE5234"/>
    <w:rsid w:val="00C16EFA"/>
    <w:rsid w:val="00C20557"/>
    <w:rsid w:val="00C51260"/>
    <w:rsid w:val="00CB51FD"/>
    <w:rsid w:val="00CD38C7"/>
    <w:rsid w:val="00CE61AA"/>
    <w:rsid w:val="00D0232A"/>
    <w:rsid w:val="00D205C9"/>
    <w:rsid w:val="00D34CDB"/>
    <w:rsid w:val="00D37F54"/>
    <w:rsid w:val="00D55069"/>
    <w:rsid w:val="00E03D9B"/>
    <w:rsid w:val="00E25112"/>
    <w:rsid w:val="00E32883"/>
    <w:rsid w:val="00E96145"/>
    <w:rsid w:val="00EA0BD9"/>
    <w:rsid w:val="00EE4152"/>
    <w:rsid w:val="00F011B1"/>
    <w:rsid w:val="00F1062D"/>
    <w:rsid w:val="00F413EB"/>
    <w:rsid w:val="00F9501E"/>
    <w:rsid w:val="00F97885"/>
    <w:rsid w:val="00FE1E8E"/>
    <w:rsid w:val="0D3F3E0F"/>
    <w:rsid w:val="440536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8"/>
    <w:semiHidden/>
    <w:unhideWhenUsed/>
    <w:uiPriority w:val="99"/>
    <w:rPr>
      <w:sz w:val="18"/>
      <w:szCs w:val="18"/>
    </w:rPr>
  </w:style>
  <w:style w:type="paragraph" w:styleId="4">
    <w:name w:val="footer"/>
    <w:basedOn w:val="1"/>
    <w:link w:val="12"/>
    <w:unhideWhenUsed/>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9">
    <w:name w:val="Strong"/>
    <w:basedOn w:val="8"/>
    <w:qFormat/>
    <w:uiPriority w:val="22"/>
    <w:rPr>
      <w:b/>
      <w:bCs/>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日期 Char"/>
    <w:basedOn w:val="8"/>
    <w:link w:val="2"/>
    <w:semiHidden/>
    <w:qFormat/>
    <w:uiPriority w:val="99"/>
  </w:style>
  <w:style w:type="character" w:customStyle="1" w:styleId="14">
    <w:name w:val="font71"/>
    <w:basedOn w:val="8"/>
    <w:qFormat/>
    <w:uiPriority w:val="0"/>
    <w:rPr>
      <w:rFonts w:hint="eastAsia" w:ascii="仿宋_GB2312" w:eastAsia="仿宋_GB2312" w:cs="仿宋_GB2312"/>
      <w:b/>
      <w:color w:val="000000"/>
      <w:sz w:val="24"/>
      <w:szCs w:val="24"/>
      <w:u w:val="none"/>
    </w:rPr>
  </w:style>
  <w:style w:type="character" w:customStyle="1" w:styleId="15">
    <w:name w:val="font31"/>
    <w:basedOn w:val="8"/>
    <w:qFormat/>
    <w:uiPriority w:val="0"/>
    <w:rPr>
      <w:rFonts w:hint="eastAsia" w:ascii="仿宋_GB2312" w:eastAsia="仿宋_GB2312" w:cs="仿宋_GB2312"/>
      <w:color w:val="000000"/>
      <w:sz w:val="20"/>
      <w:szCs w:val="20"/>
      <w:u w:val="none"/>
    </w:rPr>
  </w:style>
  <w:style w:type="character" w:customStyle="1" w:styleId="16">
    <w:name w:val="font81"/>
    <w:basedOn w:val="8"/>
    <w:qFormat/>
    <w:uiPriority w:val="0"/>
    <w:rPr>
      <w:rFonts w:hint="default" w:ascii="Times New Roman" w:hAnsi="Times New Roman" w:cs="Times New Roman"/>
      <w:color w:val="000000"/>
      <w:sz w:val="20"/>
      <w:szCs w:val="20"/>
      <w:u w:val="none"/>
    </w:rPr>
  </w:style>
  <w:style w:type="character" w:customStyle="1" w:styleId="17">
    <w:name w:val="font21"/>
    <w:basedOn w:val="8"/>
    <w:qFormat/>
    <w:uiPriority w:val="0"/>
    <w:rPr>
      <w:rFonts w:hint="default" w:ascii="Times New Roman" w:hAnsi="Times New Roman" w:cs="Times New Roman"/>
      <w:b/>
      <w:color w:val="000000"/>
      <w:sz w:val="24"/>
      <w:szCs w:val="24"/>
      <w:u w:val="none"/>
    </w:rPr>
  </w:style>
  <w:style w:type="character" w:customStyle="1" w:styleId="18">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2A35D1-7655-4CAA-8E33-40157C72C2C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655</Words>
  <Characters>3738</Characters>
  <Lines>31</Lines>
  <Paragraphs>8</Paragraphs>
  <TotalTime>20</TotalTime>
  <ScaleCrop>false</ScaleCrop>
  <LinksUpToDate>false</LinksUpToDate>
  <CharactersWithSpaces>4385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2021-10-29T08:17:00Z</dcterms:created>
  <dc:creator>NTKO</dc:creator>
  <cp:lastModifiedBy>开心</cp:lastModifiedBy>
  <dcterms:modified xsi:type="dcterms:W3CDTF">2021-10-30T10:38:57Z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2AAFB5FF40CA4E3AB78F6B98F3A5504E</vt:lpwstr>
  </property>
</Properties>
</file>